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17F9D" w14:textId="77777777" w:rsidR="00DA1FC0" w:rsidRPr="00DA1FC0" w:rsidRDefault="00DA1FC0" w:rsidP="00DA1FC0">
      <w:pPr>
        <w:spacing w:after="0" w:line="240" w:lineRule="auto"/>
        <w:rPr>
          <w:rFonts w:ascii="Times New Roman" w:eastAsia="Times New Roman" w:hAnsi="Times New Roman" w:cs="Times New Roman"/>
          <w:sz w:val="24"/>
          <w:szCs w:val="24"/>
          <w:lang w:eastAsia="fr-FR"/>
        </w:rPr>
      </w:pPr>
      <w:r w:rsidRPr="00DA1FC0">
        <w:rPr>
          <w:rFonts w:ascii="Times New Roman" w:eastAsia="Times New Roman" w:hAnsi="Times New Roman" w:cs="Times New Roman"/>
          <w:b/>
          <w:bCs/>
          <w:sz w:val="36"/>
          <w:szCs w:val="36"/>
          <w:lang w:eastAsia="fr-FR"/>
        </w:rPr>
        <w:t>Réforme des retraites : pourquoi il est peu pertinent de comparer les systèmes européens</w:t>
      </w:r>
      <w:r w:rsidRPr="00DA1FC0">
        <w:rPr>
          <w:rFonts w:ascii="Times New Roman" w:eastAsia="Times New Roman" w:hAnsi="Times New Roman" w:cs="Times New Roman"/>
          <w:sz w:val="24"/>
          <w:szCs w:val="24"/>
          <w:lang w:eastAsia="fr-FR"/>
        </w:rPr>
        <w:t xml:space="preserve"> </w:t>
      </w:r>
    </w:p>
    <w:p w14:paraId="07399A22" w14:textId="77777777" w:rsidR="00DA1FC0" w:rsidRPr="00DA1FC0" w:rsidRDefault="00DA1FC0" w:rsidP="00DA1FC0">
      <w:pPr>
        <w:spacing w:before="100" w:beforeAutospacing="1" w:after="100" w:afterAutospacing="1" w:line="240" w:lineRule="auto"/>
        <w:rPr>
          <w:rFonts w:ascii="Times New Roman" w:eastAsia="Times New Roman" w:hAnsi="Times New Roman" w:cs="Times New Roman"/>
          <w:sz w:val="24"/>
          <w:szCs w:val="24"/>
          <w:lang w:eastAsia="fr-FR"/>
        </w:rPr>
      </w:pPr>
      <w:r w:rsidRPr="00DA1FC0">
        <w:rPr>
          <w:rFonts w:ascii="Times New Roman" w:eastAsia="Times New Roman" w:hAnsi="Times New Roman" w:cs="Times New Roman"/>
          <w:sz w:val="24"/>
          <w:szCs w:val="24"/>
          <w:lang w:eastAsia="fr-FR"/>
        </w:rPr>
        <w:t xml:space="preserve">Les exemples de nos voisins européens, fréquemment brandis lors des débats sur la réforme des retraites, sont rarement probants tant les systèmes sont complexes et différents. </w:t>
      </w:r>
    </w:p>
    <w:p w14:paraId="47DAB3A3" w14:textId="77777777" w:rsidR="00DA1FC0" w:rsidRPr="00DA1FC0" w:rsidRDefault="00DA1FC0" w:rsidP="00DA1FC0">
      <w:pPr>
        <w:spacing w:before="100" w:beforeAutospacing="1" w:after="100" w:afterAutospacing="1" w:line="240" w:lineRule="auto"/>
        <w:rPr>
          <w:rFonts w:ascii="Times New Roman" w:eastAsia="Times New Roman" w:hAnsi="Times New Roman" w:cs="Times New Roman"/>
          <w:sz w:val="24"/>
          <w:szCs w:val="24"/>
          <w:lang w:eastAsia="fr-FR"/>
        </w:rPr>
      </w:pPr>
      <w:r w:rsidRPr="00DA1FC0">
        <w:rPr>
          <w:rFonts w:ascii="Times New Roman" w:eastAsia="Times New Roman" w:hAnsi="Times New Roman" w:cs="Times New Roman"/>
          <w:sz w:val="24"/>
          <w:szCs w:val="24"/>
          <w:lang w:eastAsia="fr-FR"/>
        </w:rPr>
        <w:t xml:space="preserve">Par Mathilde Damgé, Dorian Jullien et William </w:t>
      </w:r>
      <w:proofErr w:type="spellStart"/>
      <w:r w:rsidRPr="00DA1FC0">
        <w:rPr>
          <w:rFonts w:ascii="Times New Roman" w:eastAsia="Times New Roman" w:hAnsi="Times New Roman" w:cs="Times New Roman"/>
          <w:sz w:val="24"/>
          <w:szCs w:val="24"/>
          <w:lang w:eastAsia="fr-FR"/>
        </w:rPr>
        <w:t>Audureau</w:t>
      </w:r>
      <w:proofErr w:type="spellEnd"/>
      <w:r w:rsidRPr="00DA1FC0">
        <w:rPr>
          <w:rFonts w:ascii="Times New Roman" w:eastAsia="Times New Roman" w:hAnsi="Times New Roman" w:cs="Times New Roman"/>
          <w:sz w:val="24"/>
          <w:szCs w:val="24"/>
          <w:lang w:eastAsia="fr-FR"/>
        </w:rPr>
        <w:t xml:space="preserve"> </w:t>
      </w:r>
    </w:p>
    <w:p w14:paraId="2C2A5147" w14:textId="26B7FB3B" w:rsidR="00DA1FC0" w:rsidRPr="00DA1FC0" w:rsidRDefault="00DA1FC0" w:rsidP="00DA1FC0">
      <w:pPr>
        <w:spacing w:after="0" w:line="240" w:lineRule="auto"/>
        <w:rPr>
          <w:rFonts w:ascii="Times New Roman" w:eastAsia="Times New Roman" w:hAnsi="Times New Roman" w:cs="Times New Roman"/>
          <w:sz w:val="24"/>
          <w:szCs w:val="24"/>
          <w:lang w:eastAsia="fr-FR"/>
        </w:rPr>
      </w:pPr>
      <w:r w:rsidRPr="00DA1FC0">
        <w:rPr>
          <w:rFonts w:ascii="Times New Roman" w:eastAsia="Times New Roman" w:hAnsi="Times New Roman" w:cs="Times New Roman"/>
          <w:i/>
          <w:iCs/>
          <w:sz w:val="24"/>
          <w:szCs w:val="24"/>
          <w:lang w:eastAsia="fr-FR"/>
        </w:rPr>
        <w:t>Publié aujourd’hui à 06h00, mis à jour à 10h16 - Temps de Lecture 6 min. - Article réservé aux abonnés</w:t>
      </w:r>
      <w:r w:rsidRPr="00DA1FC0">
        <w:rPr>
          <w:rFonts w:ascii="Times New Roman" w:eastAsia="Times New Roman" w:hAnsi="Times New Roman" w:cs="Times New Roman"/>
          <w:sz w:val="24"/>
          <w:szCs w:val="24"/>
          <w:lang w:eastAsia="fr-FR"/>
        </w:rPr>
        <w:t xml:space="preserve"> </w:t>
      </w:r>
      <w:r w:rsidRPr="00DA1FC0">
        <w:rPr>
          <w:rFonts w:ascii="Times New Roman" w:eastAsia="Times New Roman" w:hAnsi="Times New Roman" w:cs="Times New Roman"/>
          <w:noProof/>
          <w:sz w:val="24"/>
          <w:szCs w:val="24"/>
          <w:lang w:eastAsia="fr-FR"/>
        </w:rPr>
        <w:drawing>
          <wp:inline distT="0" distB="0" distL="0" distR="0" wp14:anchorId="0013046C" wp14:editId="4E90DE96">
            <wp:extent cx="5760720" cy="3840480"/>
            <wp:effectExtent l="0" t="0" r="0" b="7620"/>
            <wp:docPr id="3" name="Image 3" descr="Manifestation contre le projet de loi sur les retraites&#10;            à Paris, le 16 février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ifestation contre le projet de loi sur les retraites&#10;            à Paris, le 16 février 20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r w:rsidRPr="00DA1FC0">
        <w:rPr>
          <w:rFonts w:ascii="Times New Roman" w:eastAsia="Times New Roman" w:hAnsi="Times New Roman" w:cs="Times New Roman"/>
          <w:sz w:val="24"/>
          <w:szCs w:val="24"/>
          <w:lang w:eastAsia="fr-FR"/>
        </w:rPr>
        <w:t xml:space="preserve">Manifestation contre le projet de loi sur les retraites à Paris, le 16 février 2023. JULIEN DANIEL/MYOP POUR « LE MONDE » </w:t>
      </w:r>
    </w:p>
    <w:p w14:paraId="6E7CDB32" w14:textId="77777777" w:rsidR="00DA1FC0" w:rsidRPr="00DA1FC0" w:rsidRDefault="00DA1FC0" w:rsidP="00DA1FC0">
      <w:pPr>
        <w:spacing w:before="100" w:beforeAutospacing="1" w:after="100" w:afterAutospacing="1" w:line="240" w:lineRule="auto"/>
        <w:rPr>
          <w:rFonts w:ascii="Times New Roman" w:eastAsia="Times New Roman" w:hAnsi="Times New Roman" w:cs="Times New Roman"/>
          <w:sz w:val="24"/>
          <w:szCs w:val="24"/>
          <w:lang w:eastAsia="fr-FR"/>
        </w:rPr>
      </w:pPr>
      <w:r w:rsidRPr="00DA1FC0">
        <w:rPr>
          <w:rFonts w:ascii="Times New Roman" w:eastAsia="Times New Roman" w:hAnsi="Times New Roman" w:cs="Times New Roman"/>
          <w:i/>
          <w:iCs/>
          <w:sz w:val="24"/>
          <w:szCs w:val="24"/>
          <w:lang w:eastAsia="fr-FR"/>
        </w:rPr>
        <w:t xml:space="preserve">« La réforme des retraites est indispensable quand on se compare en Europe », </w:t>
      </w:r>
      <w:r w:rsidRPr="00DA1FC0">
        <w:rPr>
          <w:rFonts w:ascii="Times New Roman" w:eastAsia="Times New Roman" w:hAnsi="Times New Roman" w:cs="Times New Roman"/>
          <w:sz w:val="24"/>
          <w:szCs w:val="24"/>
          <w:lang w:eastAsia="fr-FR"/>
        </w:rPr>
        <w:t xml:space="preserve">affirmait le président Emmanuel Macron </w:t>
      </w:r>
      <w:hyperlink r:id="rId5" w:tgtFrame="_blank" w:tooltip="Nouvelle fenêtre" w:history="1">
        <w:r w:rsidRPr="00DA1FC0">
          <w:rPr>
            <w:rFonts w:ascii="Times New Roman" w:eastAsia="Times New Roman" w:hAnsi="Times New Roman" w:cs="Times New Roman"/>
            <w:color w:val="0000FF"/>
            <w:sz w:val="24"/>
            <w:szCs w:val="24"/>
            <w:u w:val="single"/>
            <w:lang w:eastAsia="fr-FR"/>
          </w:rPr>
          <w:t>fin janvier</w:t>
        </w:r>
      </w:hyperlink>
      <w:r w:rsidRPr="00DA1FC0">
        <w:rPr>
          <w:rFonts w:ascii="Times New Roman" w:eastAsia="Times New Roman" w:hAnsi="Times New Roman" w:cs="Times New Roman"/>
          <w:sz w:val="24"/>
          <w:szCs w:val="24"/>
          <w:lang w:eastAsia="fr-FR"/>
        </w:rPr>
        <w:t>. Depuis la présentation du projet de loi, les comparaisons avec tel ou tel pays européen surgissent régulièrement dans le débat, qu’il s’agisse de justifier la réforme ou au contraire de la critiquer.</w:t>
      </w:r>
    </w:p>
    <w:p w14:paraId="46F1F52A" w14:textId="77777777" w:rsidR="00DA1FC0" w:rsidRPr="00DA1FC0" w:rsidRDefault="00DA1FC0" w:rsidP="00DA1FC0">
      <w:pPr>
        <w:spacing w:before="100" w:beforeAutospacing="1" w:after="100" w:afterAutospacing="1" w:line="240" w:lineRule="auto"/>
        <w:rPr>
          <w:rFonts w:ascii="Times New Roman" w:eastAsia="Times New Roman" w:hAnsi="Times New Roman" w:cs="Times New Roman"/>
          <w:sz w:val="24"/>
          <w:szCs w:val="24"/>
          <w:lang w:eastAsia="fr-FR"/>
        </w:rPr>
      </w:pPr>
      <w:r w:rsidRPr="00DA1FC0">
        <w:rPr>
          <w:rFonts w:ascii="Times New Roman" w:eastAsia="Times New Roman" w:hAnsi="Times New Roman" w:cs="Times New Roman"/>
          <w:sz w:val="24"/>
          <w:szCs w:val="24"/>
          <w:lang w:eastAsia="fr-FR"/>
        </w:rPr>
        <w:t>Mais est-il vraiment pertinent de mettre en parallèle le New State Pension britannique, fondé sur une forte dose de capitalisation, et la France, qui privilégie la répartition ? Les Baltes, dont plus d’un tiers des ressources à la retraite sont des revenus d’activité (en tant que retraités), et les Français, qui travaillent le moins en Europe une fois à la retraite ?</w:t>
      </w:r>
    </w:p>
    <w:p w14:paraId="4B572A98" w14:textId="77777777" w:rsidR="00DA1FC0" w:rsidRPr="00DA1FC0" w:rsidRDefault="00DA1FC0" w:rsidP="00DA1FC0">
      <w:pPr>
        <w:spacing w:before="100" w:beforeAutospacing="1" w:after="100" w:afterAutospacing="1" w:line="240" w:lineRule="auto"/>
        <w:rPr>
          <w:rFonts w:ascii="Times New Roman" w:eastAsia="Times New Roman" w:hAnsi="Times New Roman" w:cs="Times New Roman"/>
          <w:sz w:val="24"/>
          <w:szCs w:val="24"/>
          <w:lang w:eastAsia="fr-FR"/>
        </w:rPr>
      </w:pPr>
      <w:r w:rsidRPr="00DA1FC0">
        <w:rPr>
          <w:rFonts w:ascii="Times New Roman" w:eastAsia="Times New Roman" w:hAnsi="Times New Roman" w:cs="Times New Roman"/>
          <w:sz w:val="24"/>
          <w:szCs w:val="24"/>
          <w:lang w:eastAsia="fr-FR"/>
        </w:rPr>
        <w:t>Régimes de retraites différents, capitalisation plus ou moins importante, écarts dans l’âge légal de départ, l’âge réel ou les niveaux de pension : les contrastes d’un pays à l’autre sont si forts qu’il en devient risqué de ne prendre qu’un élément pour comparer les pays.</w:t>
      </w:r>
    </w:p>
    <w:p w14:paraId="6A09D6FE" w14:textId="77777777" w:rsidR="00DA1FC0" w:rsidRPr="00DA1FC0" w:rsidRDefault="00DA1FC0" w:rsidP="00DA1FC0">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DA1FC0">
        <w:rPr>
          <w:rFonts w:ascii="Times New Roman" w:eastAsia="Times New Roman" w:hAnsi="Times New Roman" w:cs="Times New Roman"/>
          <w:b/>
          <w:bCs/>
          <w:sz w:val="27"/>
          <w:szCs w:val="27"/>
          <w:lang w:eastAsia="fr-FR"/>
        </w:rPr>
        <w:lastRenderedPageBreak/>
        <w:t>Un modèle par répartition, ou pas</w:t>
      </w:r>
    </w:p>
    <w:p w14:paraId="1689BCF2" w14:textId="77777777" w:rsidR="00DA1FC0" w:rsidRPr="00DA1FC0" w:rsidRDefault="00DA1FC0" w:rsidP="00DA1FC0">
      <w:pPr>
        <w:spacing w:before="100" w:beforeAutospacing="1" w:after="100" w:afterAutospacing="1" w:line="240" w:lineRule="auto"/>
        <w:rPr>
          <w:rFonts w:ascii="Times New Roman" w:eastAsia="Times New Roman" w:hAnsi="Times New Roman" w:cs="Times New Roman"/>
          <w:sz w:val="24"/>
          <w:szCs w:val="24"/>
          <w:lang w:eastAsia="fr-FR"/>
        </w:rPr>
      </w:pPr>
      <w:r w:rsidRPr="00DA1FC0">
        <w:rPr>
          <w:rFonts w:ascii="Times New Roman" w:eastAsia="Times New Roman" w:hAnsi="Times New Roman" w:cs="Times New Roman"/>
          <w:sz w:val="24"/>
          <w:szCs w:val="24"/>
          <w:lang w:eastAsia="fr-FR"/>
        </w:rPr>
        <w:t>Au cœur de l’esprit du système de retraite par répartition se trouve l’idée que les actifs cotisent pour les générations précédentes. A l’inverse, la capitalisation implique de ne cotiser que pour soi (ou pour son entreprise) et de toucher son pécule une fois retraité.</w:t>
      </w:r>
    </w:p>
    <w:p w14:paraId="3D224E41" w14:textId="77777777" w:rsidR="00DA1FC0" w:rsidRPr="00DA1FC0" w:rsidRDefault="00DA1FC0" w:rsidP="00DA1FC0">
      <w:pPr>
        <w:spacing w:before="100" w:beforeAutospacing="1" w:after="100" w:afterAutospacing="1" w:line="240" w:lineRule="auto"/>
        <w:rPr>
          <w:rFonts w:ascii="Times New Roman" w:eastAsia="Times New Roman" w:hAnsi="Times New Roman" w:cs="Times New Roman"/>
          <w:sz w:val="24"/>
          <w:szCs w:val="24"/>
          <w:lang w:eastAsia="fr-FR"/>
        </w:rPr>
      </w:pPr>
      <w:r w:rsidRPr="00DA1FC0">
        <w:rPr>
          <w:rFonts w:ascii="Times New Roman" w:eastAsia="Times New Roman" w:hAnsi="Times New Roman" w:cs="Times New Roman"/>
          <w:sz w:val="24"/>
          <w:szCs w:val="24"/>
          <w:lang w:eastAsia="fr-FR"/>
        </w:rPr>
        <w:t xml:space="preserve">Tous les pays européens ont un système de retraite par répartition… panaché de capitalisation à des degrés variables. Au Royaume-Uni et aux Pays-Bas, les sommes gérées par des fonds de pension ou des caisses de retraite privées </w:t>
      </w:r>
      <w:hyperlink r:id="rId6" w:anchor="page=29" w:tgtFrame="_blank" w:tooltip="Nouvelle fenêtre" w:history="1">
        <w:r w:rsidRPr="00DA1FC0">
          <w:rPr>
            <w:rFonts w:ascii="Times New Roman" w:eastAsia="Times New Roman" w:hAnsi="Times New Roman" w:cs="Times New Roman"/>
            <w:color w:val="0000FF"/>
            <w:sz w:val="24"/>
            <w:szCs w:val="24"/>
            <w:u w:val="single"/>
            <w:lang w:eastAsia="fr-FR"/>
          </w:rPr>
          <w:t>pèsent pour plus de la moitié dans les dépenses totales de retraite</w:t>
        </w:r>
      </w:hyperlink>
      <w:r w:rsidRPr="00DA1FC0">
        <w:rPr>
          <w:rFonts w:ascii="Times New Roman" w:eastAsia="Times New Roman" w:hAnsi="Times New Roman" w:cs="Times New Roman"/>
          <w:sz w:val="24"/>
          <w:szCs w:val="24"/>
          <w:lang w:eastAsia="fr-FR"/>
        </w:rPr>
        <w:t>.</w:t>
      </w:r>
    </w:p>
    <w:p w14:paraId="6820F23F" w14:textId="77777777" w:rsidR="00DA1FC0" w:rsidRPr="00DA1FC0" w:rsidRDefault="00DA1FC0" w:rsidP="00DA1FC0">
      <w:pPr>
        <w:spacing w:after="0" w:line="240" w:lineRule="auto"/>
        <w:rPr>
          <w:rFonts w:ascii="Times New Roman" w:eastAsia="Times New Roman" w:hAnsi="Times New Roman" w:cs="Times New Roman"/>
          <w:sz w:val="24"/>
          <w:szCs w:val="24"/>
          <w:lang w:eastAsia="fr-FR"/>
        </w:rPr>
      </w:pPr>
      <w:r w:rsidRPr="00DA1FC0">
        <w:rPr>
          <w:rFonts w:ascii="Times New Roman" w:eastAsia="Times New Roman" w:hAnsi="Times New Roman" w:cs="Times New Roman"/>
          <w:sz w:val="24"/>
          <w:szCs w:val="24"/>
          <w:lang w:eastAsia="fr-FR"/>
        </w:rPr>
        <w:t xml:space="preserve">Seule exception à la percée de la capitalisation, la France fonctionne totalement par répartition, tant pour son régime de base que pour les régimes complémentaires – ce qui n’interdit pas, bien sûr, de se constituer soi-même une épargne pour sa retraite. Ce principe n’est pas remis en cause par la réforme proposée par le gouvernement. Lire aussi : Article réservé à nos abonnés </w:t>
      </w:r>
      <w:hyperlink r:id="rId7" w:tgtFrame="_blank" w:history="1">
        <w:r w:rsidRPr="00DA1FC0">
          <w:rPr>
            <w:rFonts w:ascii="Times New Roman" w:eastAsia="Times New Roman" w:hAnsi="Times New Roman" w:cs="Times New Roman"/>
            <w:color w:val="0000FF"/>
            <w:sz w:val="24"/>
            <w:szCs w:val="24"/>
            <w:u w:val="single"/>
            <w:lang w:eastAsia="fr-FR"/>
          </w:rPr>
          <w:t>Le système de retraite par capitalisation s’installe, discrètement, dans les pratiques en France</w:t>
        </w:r>
      </w:hyperlink>
      <w:r w:rsidRPr="00DA1FC0">
        <w:rPr>
          <w:rFonts w:ascii="Times New Roman" w:eastAsia="Times New Roman" w:hAnsi="Times New Roman" w:cs="Times New Roman"/>
          <w:sz w:val="24"/>
          <w:szCs w:val="24"/>
          <w:lang w:eastAsia="fr-FR"/>
        </w:rPr>
        <w:t xml:space="preserve"> </w:t>
      </w:r>
    </w:p>
    <w:p w14:paraId="52FA4489" w14:textId="77777777" w:rsidR="00DA1FC0" w:rsidRPr="00DA1FC0" w:rsidRDefault="00DA1FC0" w:rsidP="00DA1FC0">
      <w:pPr>
        <w:spacing w:before="100" w:beforeAutospacing="1" w:after="100" w:afterAutospacing="1" w:line="240" w:lineRule="auto"/>
        <w:rPr>
          <w:rFonts w:ascii="Times New Roman" w:eastAsia="Times New Roman" w:hAnsi="Times New Roman" w:cs="Times New Roman"/>
          <w:sz w:val="24"/>
          <w:szCs w:val="24"/>
          <w:lang w:eastAsia="fr-FR"/>
        </w:rPr>
      </w:pPr>
      <w:r w:rsidRPr="00DA1FC0">
        <w:rPr>
          <w:rFonts w:ascii="Times New Roman" w:eastAsia="Times New Roman" w:hAnsi="Times New Roman" w:cs="Times New Roman"/>
          <w:sz w:val="24"/>
          <w:szCs w:val="24"/>
          <w:lang w:eastAsia="fr-FR"/>
        </w:rPr>
        <w:t xml:space="preserve">Autre différence : au Royaume-Uni et aux Pays-Bas, il existe un forfait de base, une somme minimale versée aux retraités, indépendamment de leur niveau de salaire. Si ce mécanisme est fortement redistributif sur le principe, le forfait est relativement faible par rapport au niveau de vie : il représentait 830 euros pour un retraité britannique et 1 300 euros pour un Néerlandais. Dans tous les autres pays, qui fondent le régime obligatoire sur les salaires, </w:t>
      </w:r>
      <w:hyperlink r:id="rId8" w:anchor="page2" w:tgtFrame="_blank" w:tooltip="Nouvelle fenêtre" w:history="1">
        <w:r w:rsidRPr="00DA1FC0">
          <w:rPr>
            <w:rFonts w:ascii="Times New Roman" w:eastAsia="Times New Roman" w:hAnsi="Times New Roman" w:cs="Times New Roman"/>
            <w:color w:val="0000FF"/>
            <w:sz w:val="24"/>
            <w:szCs w:val="24"/>
            <w:u w:val="single"/>
            <w:lang w:eastAsia="fr-FR"/>
          </w:rPr>
          <w:t>les niveaux de pensions varient énormément</w:t>
        </w:r>
      </w:hyperlink>
      <w:r w:rsidRPr="00DA1FC0">
        <w:rPr>
          <w:rFonts w:ascii="Times New Roman" w:eastAsia="Times New Roman" w:hAnsi="Times New Roman" w:cs="Times New Roman"/>
          <w:sz w:val="24"/>
          <w:szCs w:val="24"/>
          <w:lang w:eastAsia="fr-FR"/>
        </w:rPr>
        <w:t> : entre un tiers de l’ancien salaire dans les pays baltes et 90 % en Hongrie ou au Portugal.</w:t>
      </w:r>
    </w:p>
    <w:p w14:paraId="662419F4" w14:textId="77777777" w:rsidR="00DA1FC0" w:rsidRPr="00DA1FC0" w:rsidRDefault="00DA1FC0" w:rsidP="00DA1FC0">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DA1FC0">
        <w:rPr>
          <w:rFonts w:ascii="Times New Roman" w:eastAsia="Times New Roman" w:hAnsi="Times New Roman" w:cs="Times New Roman"/>
          <w:b/>
          <w:bCs/>
          <w:sz w:val="27"/>
          <w:szCs w:val="27"/>
          <w:lang w:eastAsia="fr-FR"/>
        </w:rPr>
        <w:t>L’âge de départ, une réalité difficile à chiffrer</w:t>
      </w:r>
    </w:p>
    <w:p w14:paraId="12048BD9" w14:textId="77777777" w:rsidR="00DA1FC0" w:rsidRPr="00DA1FC0" w:rsidRDefault="00DA1FC0" w:rsidP="00DA1FC0">
      <w:pPr>
        <w:spacing w:before="100" w:beforeAutospacing="1" w:after="100" w:afterAutospacing="1" w:line="240" w:lineRule="auto"/>
        <w:rPr>
          <w:rFonts w:ascii="Times New Roman" w:eastAsia="Times New Roman" w:hAnsi="Times New Roman" w:cs="Times New Roman"/>
          <w:sz w:val="24"/>
          <w:szCs w:val="24"/>
          <w:lang w:eastAsia="fr-FR"/>
        </w:rPr>
      </w:pPr>
      <w:r w:rsidRPr="00DA1FC0">
        <w:rPr>
          <w:rFonts w:ascii="Times New Roman" w:eastAsia="Times New Roman" w:hAnsi="Times New Roman" w:cs="Times New Roman"/>
          <w:sz w:val="24"/>
          <w:szCs w:val="24"/>
          <w:lang w:eastAsia="fr-FR"/>
        </w:rPr>
        <w:t xml:space="preserve">Si le président du Mouvement des entreprises de France (Medef), Geoffroy Roux de </w:t>
      </w:r>
      <w:proofErr w:type="spellStart"/>
      <w:r w:rsidRPr="00DA1FC0">
        <w:rPr>
          <w:rFonts w:ascii="Times New Roman" w:eastAsia="Times New Roman" w:hAnsi="Times New Roman" w:cs="Times New Roman"/>
          <w:sz w:val="24"/>
          <w:szCs w:val="24"/>
          <w:lang w:eastAsia="fr-FR"/>
        </w:rPr>
        <w:t>Bézieux</w:t>
      </w:r>
      <w:proofErr w:type="spellEnd"/>
      <w:r w:rsidRPr="00DA1FC0">
        <w:rPr>
          <w:rFonts w:ascii="Times New Roman" w:eastAsia="Times New Roman" w:hAnsi="Times New Roman" w:cs="Times New Roman"/>
          <w:sz w:val="24"/>
          <w:szCs w:val="24"/>
          <w:lang w:eastAsia="fr-FR"/>
        </w:rPr>
        <w:t xml:space="preserve">, ne cesse de répéter que la France est le pays européen </w:t>
      </w:r>
      <w:hyperlink r:id="rId9" w:tgtFrame="_blank" w:tooltip="Nouvelle fenêtre" w:history="1">
        <w:r w:rsidRPr="00DA1FC0">
          <w:rPr>
            <w:rFonts w:ascii="Times New Roman" w:eastAsia="Times New Roman" w:hAnsi="Times New Roman" w:cs="Times New Roman"/>
            <w:color w:val="0000FF"/>
            <w:sz w:val="24"/>
            <w:szCs w:val="24"/>
            <w:u w:val="single"/>
            <w:lang w:eastAsia="fr-FR"/>
          </w:rPr>
          <w:t>où on part le plus tôt à la retraite</w:t>
        </w:r>
      </w:hyperlink>
      <w:r w:rsidRPr="00DA1FC0">
        <w:rPr>
          <w:rFonts w:ascii="Times New Roman" w:eastAsia="Times New Roman" w:hAnsi="Times New Roman" w:cs="Times New Roman"/>
          <w:sz w:val="24"/>
          <w:szCs w:val="24"/>
          <w:lang w:eastAsia="fr-FR"/>
        </w:rPr>
        <w:t>, l’âge de départ recoupe des réalités diverses.</w:t>
      </w:r>
    </w:p>
    <w:p w14:paraId="5375AE04" w14:textId="77777777" w:rsidR="00DA1FC0" w:rsidRPr="00DA1FC0" w:rsidRDefault="00DA1FC0" w:rsidP="00DA1FC0">
      <w:pPr>
        <w:spacing w:before="100" w:beforeAutospacing="1" w:after="100" w:afterAutospacing="1" w:line="240" w:lineRule="auto"/>
        <w:rPr>
          <w:rFonts w:ascii="Times New Roman" w:eastAsia="Times New Roman" w:hAnsi="Times New Roman" w:cs="Times New Roman"/>
          <w:sz w:val="24"/>
          <w:szCs w:val="24"/>
          <w:lang w:eastAsia="fr-FR"/>
        </w:rPr>
      </w:pPr>
      <w:r w:rsidRPr="00DA1FC0">
        <w:rPr>
          <w:rFonts w:ascii="Times New Roman" w:eastAsia="Times New Roman" w:hAnsi="Times New Roman" w:cs="Times New Roman"/>
          <w:sz w:val="24"/>
          <w:szCs w:val="24"/>
          <w:lang w:eastAsia="fr-FR"/>
        </w:rPr>
        <w:t>Par exemple, l’âge légal – auquel on peut faire valoir ses droits de liquidation de pension – est différent de l’âge réel ou effectif – le moment choisi par les travailleurs pour prendre leur retraite.</w:t>
      </w:r>
      <w:r w:rsidRPr="00DA1FC0">
        <w:rPr>
          <w:rFonts w:ascii="Times New Roman" w:eastAsia="Times New Roman" w:hAnsi="Times New Roman" w:cs="Times New Roman"/>
          <w:b/>
          <w:bCs/>
          <w:sz w:val="24"/>
          <w:szCs w:val="24"/>
          <w:lang w:eastAsia="fr-FR"/>
        </w:rPr>
        <w:t xml:space="preserve"> </w:t>
      </w:r>
      <w:r w:rsidRPr="00DA1FC0">
        <w:rPr>
          <w:rFonts w:ascii="Times New Roman" w:eastAsia="Times New Roman" w:hAnsi="Times New Roman" w:cs="Times New Roman"/>
          <w:sz w:val="24"/>
          <w:szCs w:val="24"/>
          <w:lang w:eastAsia="fr-FR"/>
        </w:rPr>
        <w:t>L’écart souvent cité entre les 62 ans de l’âge légal en France et les 67 ans en Allemagne se réduit considérablement si l’on compare les âges de départ effectifs des deux pays : 63 ans et 65 ans. En Allemagne, au Luxembourg ou en Autriche, la majorité des travailleurs prennent leur retraite avant l’âge légal de départ, alors qu’en France, en Suède ou en Grèce, ils partent après.</w:t>
      </w:r>
    </w:p>
    <w:p w14:paraId="64A1B368" w14:textId="77777777" w:rsidR="00DA1FC0" w:rsidRPr="00DA1FC0" w:rsidRDefault="00DA1FC0" w:rsidP="00DA1FC0">
      <w:pPr>
        <w:spacing w:before="100" w:beforeAutospacing="1" w:after="100" w:afterAutospacing="1" w:line="240" w:lineRule="auto"/>
        <w:rPr>
          <w:rFonts w:ascii="Times New Roman" w:eastAsia="Times New Roman" w:hAnsi="Times New Roman" w:cs="Times New Roman"/>
          <w:sz w:val="24"/>
          <w:szCs w:val="24"/>
          <w:lang w:eastAsia="fr-FR"/>
        </w:rPr>
      </w:pPr>
      <w:r w:rsidRPr="00DA1FC0">
        <w:rPr>
          <w:rFonts w:ascii="Times New Roman" w:eastAsia="Times New Roman" w:hAnsi="Times New Roman" w:cs="Times New Roman"/>
          <w:sz w:val="24"/>
          <w:szCs w:val="24"/>
          <w:lang w:eastAsia="fr-FR"/>
        </w:rPr>
        <w:t>Ce choix est souvent influencé par l’existence de décotes repoussant l’âge où l’on peut prétendre à une retraite complète. Les travailleurs préfèrent alors travailler plus longtemps pour augmenter le niveau de leur future pension.</w:t>
      </w:r>
    </w:p>
    <w:p w14:paraId="2A6C8276" w14:textId="77777777" w:rsidR="00DA1FC0" w:rsidRPr="00DA1FC0" w:rsidRDefault="00DA1FC0" w:rsidP="00DA1FC0">
      <w:pPr>
        <w:spacing w:before="100" w:beforeAutospacing="1" w:after="100" w:afterAutospacing="1" w:line="240" w:lineRule="auto"/>
        <w:rPr>
          <w:rFonts w:ascii="Times New Roman" w:eastAsia="Times New Roman" w:hAnsi="Times New Roman" w:cs="Times New Roman"/>
          <w:sz w:val="24"/>
          <w:szCs w:val="24"/>
          <w:lang w:eastAsia="fr-FR"/>
        </w:rPr>
      </w:pPr>
      <w:r w:rsidRPr="00DA1FC0">
        <w:rPr>
          <w:rFonts w:ascii="Times New Roman" w:eastAsia="Times New Roman" w:hAnsi="Times New Roman" w:cs="Times New Roman"/>
          <w:sz w:val="24"/>
          <w:szCs w:val="24"/>
          <w:lang w:eastAsia="fr-FR"/>
        </w:rPr>
        <w:t>Si l’on compare les départs à taux plein, la France a le plus tardif (67 ans), devant l’Allemagne (65 ans et 11 mois en 2023, évoluant jusqu’à 67 ans en 2030). Sauf que l’âge de départ à taux plein ou son équivalent, appelé « âge normal de la retraite » par l’Organisation de coopération et de développement économiques (OCDE), n’existe pas partout. Dans certains pays, la retraite n’est versée complètement que si d’autres conditions sont remplies – durée de cotisation au Royaume-Uni et en Belgique, durée de résidence aux Pays-Bas…</w:t>
      </w:r>
    </w:p>
    <w:p w14:paraId="1FD5AF01" w14:textId="77777777" w:rsidR="00DA1FC0" w:rsidRPr="00DA1FC0" w:rsidRDefault="00DA1FC0" w:rsidP="00DA1FC0">
      <w:pPr>
        <w:spacing w:before="100" w:beforeAutospacing="1" w:after="100" w:afterAutospacing="1" w:line="240" w:lineRule="auto"/>
        <w:rPr>
          <w:rFonts w:ascii="Times New Roman" w:eastAsia="Times New Roman" w:hAnsi="Times New Roman" w:cs="Times New Roman"/>
          <w:sz w:val="24"/>
          <w:szCs w:val="24"/>
          <w:lang w:eastAsia="fr-FR"/>
        </w:rPr>
      </w:pPr>
      <w:r w:rsidRPr="00DA1FC0">
        <w:rPr>
          <w:rFonts w:ascii="Times New Roman" w:eastAsia="Times New Roman" w:hAnsi="Times New Roman" w:cs="Times New Roman"/>
          <w:sz w:val="24"/>
          <w:szCs w:val="24"/>
          <w:lang w:eastAsia="fr-FR"/>
        </w:rPr>
        <w:lastRenderedPageBreak/>
        <w:t xml:space="preserve">Autre effet de ces décotes, de nombreux retraités doivent continuer de travailler après leur liquidation des droits à la retraite : </w:t>
      </w:r>
      <w:r w:rsidRPr="00DA1FC0">
        <w:rPr>
          <w:rFonts w:ascii="Times New Roman" w:eastAsia="Times New Roman" w:hAnsi="Times New Roman" w:cs="Times New Roman"/>
          <w:i/>
          <w:iCs/>
          <w:sz w:val="24"/>
          <w:szCs w:val="24"/>
          <w:lang w:eastAsia="fr-FR"/>
        </w:rPr>
        <w:t>« Dans de nombreux pays, l’âge moyen de liquidation est inférieur à l’âge moyen de sortie du marché du travail, notamment pour les femmes, en raison de la poursuite d’activité, y compris à temps partiel, après la liquidation »</w:t>
      </w:r>
      <w:r w:rsidRPr="00DA1FC0">
        <w:rPr>
          <w:rFonts w:ascii="Times New Roman" w:eastAsia="Times New Roman" w:hAnsi="Times New Roman" w:cs="Times New Roman"/>
          <w:sz w:val="24"/>
          <w:szCs w:val="24"/>
          <w:lang w:eastAsia="fr-FR"/>
        </w:rPr>
        <w:t xml:space="preserve">, </w:t>
      </w:r>
      <w:hyperlink r:id="rId10" w:anchor="page=96" w:tgtFrame="_blank" w:tooltip="Nouvelle fenêtre" w:history="1">
        <w:r w:rsidRPr="00DA1FC0">
          <w:rPr>
            <w:rFonts w:ascii="Times New Roman" w:eastAsia="Times New Roman" w:hAnsi="Times New Roman" w:cs="Times New Roman"/>
            <w:color w:val="0000FF"/>
            <w:sz w:val="24"/>
            <w:szCs w:val="24"/>
            <w:u w:val="single"/>
            <w:lang w:eastAsia="fr-FR"/>
          </w:rPr>
          <w:t>rappelle le rapport 2020 du Conseil d’orientation des retraites (COR)</w:t>
        </w:r>
      </w:hyperlink>
      <w:r w:rsidRPr="00DA1FC0">
        <w:rPr>
          <w:rFonts w:ascii="Times New Roman" w:eastAsia="Times New Roman" w:hAnsi="Times New Roman" w:cs="Times New Roman"/>
          <w:sz w:val="24"/>
          <w:szCs w:val="24"/>
          <w:lang w:eastAsia="fr-FR"/>
        </w:rPr>
        <w:t>. Au contraire, le dispositif français de préretraite permet de sortir du marché du travail avant d’avoir atteint l’âge où on liquidera ses droits.</w:t>
      </w:r>
    </w:p>
    <w:p w14:paraId="63A76D70" w14:textId="77777777" w:rsidR="00DA1FC0" w:rsidRPr="00DA1FC0" w:rsidRDefault="00DA1FC0" w:rsidP="00DA1FC0">
      <w:pPr>
        <w:spacing w:after="0" w:line="240" w:lineRule="auto"/>
        <w:rPr>
          <w:rFonts w:ascii="Times New Roman" w:eastAsia="Times New Roman" w:hAnsi="Times New Roman" w:cs="Times New Roman"/>
          <w:sz w:val="24"/>
          <w:szCs w:val="24"/>
          <w:lang w:eastAsia="fr-FR"/>
        </w:rPr>
      </w:pPr>
      <w:r w:rsidRPr="00DA1FC0">
        <w:rPr>
          <w:rFonts w:ascii="Times New Roman" w:eastAsia="Times New Roman" w:hAnsi="Times New Roman" w:cs="Times New Roman"/>
          <w:sz w:val="24"/>
          <w:szCs w:val="24"/>
          <w:lang w:eastAsia="fr-FR"/>
        </w:rPr>
        <w:t xml:space="preserve">La difficile comparaison des différents âges de retraite de nos voisins européens </w:t>
      </w:r>
    </w:p>
    <w:p w14:paraId="291E44BF" w14:textId="77777777" w:rsidR="00DA1FC0" w:rsidRPr="00DA1FC0" w:rsidRDefault="00DA1FC0" w:rsidP="00DA1FC0">
      <w:pPr>
        <w:spacing w:after="0" w:line="240" w:lineRule="auto"/>
        <w:rPr>
          <w:rFonts w:ascii="Times New Roman" w:eastAsia="Times New Roman" w:hAnsi="Times New Roman" w:cs="Times New Roman"/>
          <w:sz w:val="24"/>
          <w:szCs w:val="24"/>
          <w:lang w:eastAsia="fr-FR"/>
        </w:rPr>
      </w:pPr>
      <w:r w:rsidRPr="00DA1FC0">
        <w:rPr>
          <w:rFonts w:ascii="Times New Roman" w:eastAsia="Times New Roman" w:hAnsi="Times New Roman" w:cs="Times New Roman"/>
          <w:sz w:val="24"/>
          <w:szCs w:val="24"/>
          <w:lang w:eastAsia="fr-FR"/>
        </w:rPr>
        <w:t>Les différents âges du débat : âge d'ouverture des droits (vert), âges de liquidation (or), âge de sortie du marché du travail (bleu), âge sans décote (rouge), âge de mise à la retraite d'office (noir</w:t>
      </w:r>
      <w:proofErr w:type="gramStart"/>
      <w:r w:rsidRPr="00DA1FC0">
        <w:rPr>
          <w:rFonts w:ascii="Times New Roman" w:eastAsia="Times New Roman" w:hAnsi="Times New Roman" w:cs="Times New Roman"/>
          <w:sz w:val="24"/>
          <w:szCs w:val="24"/>
          <w:lang w:eastAsia="fr-FR"/>
        </w:rPr>
        <w:t>)..</w:t>
      </w:r>
      <w:proofErr w:type="gramEnd"/>
      <w:r w:rsidRPr="00DA1FC0">
        <w:rPr>
          <w:rFonts w:ascii="Times New Roman" w:eastAsia="Times New Roman" w:hAnsi="Times New Roman" w:cs="Times New Roman"/>
          <w:sz w:val="24"/>
          <w:szCs w:val="24"/>
          <w:lang w:eastAsia="fr-FR"/>
        </w:rPr>
        <w:br/>
        <w:t>Survolez les points pour visualiser les âges.</w:t>
      </w:r>
      <w:r w:rsidRPr="00DA1FC0">
        <w:rPr>
          <w:rFonts w:ascii="Times New Roman" w:eastAsia="Times New Roman" w:hAnsi="Times New Roman" w:cs="Times New Roman"/>
          <w:sz w:val="24"/>
          <w:szCs w:val="24"/>
          <w:lang w:eastAsia="fr-FR"/>
        </w:rPr>
        <w:br/>
        <w:t>Les définitions sont celles de la Commission européenne et sont retenues par le COR. Les données sont celles de 2019 et 2020.</w:t>
      </w:r>
    </w:p>
    <w:p w14:paraId="09400BD0" w14:textId="14AB2431" w:rsidR="00DA1FC0" w:rsidRPr="00DA1FC0" w:rsidRDefault="00DA1FC0" w:rsidP="00DA1FC0">
      <w:pPr>
        <w:spacing w:after="0" w:line="240" w:lineRule="auto"/>
        <w:rPr>
          <w:rFonts w:ascii="Times New Roman" w:eastAsia="Times New Roman" w:hAnsi="Times New Roman" w:cs="Times New Roman"/>
          <w:sz w:val="24"/>
          <w:szCs w:val="24"/>
          <w:lang w:eastAsia="fr-FR"/>
        </w:rPr>
      </w:pPr>
      <w:r w:rsidRPr="00DA1FC0">
        <w:rPr>
          <w:rFonts w:ascii="Times New Roman" w:eastAsia="Times New Roman" w:hAnsi="Times New Roman" w:cs="Times New Roman"/>
          <w:noProof/>
          <w:sz w:val="24"/>
          <w:szCs w:val="24"/>
          <w:lang w:eastAsia="fr-FR"/>
        </w:rPr>
        <mc:AlternateContent>
          <mc:Choice Requires="wps">
            <w:drawing>
              <wp:inline distT="0" distB="0" distL="0" distR="0" wp14:anchorId="749D5A74" wp14:editId="77626434">
                <wp:extent cx="304800" cy="3048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3FCF68"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911D56B" w14:textId="762C13CB" w:rsidR="00DA1FC0" w:rsidRPr="00DA1FC0" w:rsidRDefault="00DA1FC0" w:rsidP="00DA1FC0">
      <w:pPr>
        <w:spacing w:after="0" w:line="240" w:lineRule="auto"/>
        <w:rPr>
          <w:rFonts w:ascii="Times New Roman" w:eastAsia="Times New Roman" w:hAnsi="Times New Roman" w:cs="Times New Roman"/>
          <w:sz w:val="24"/>
          <w:szCs w:val="24"/>
          <w:lang w:eastAsia="fr-FR"/>
        </w:rPr>
      </w:pPr>
      <w:r w:rsidRPr="00DA1FC0">
        <w:rPr>
          <w:rFonts w:ascii="Times New Roman" w:eastAsia="Times New Roman" w:hAnsi="Times New Roman" w:cs="Times New Roman"/>
          <w:sz w:val="24"/>
          <w:szCs w:val="24"/>
          <w:lang w:eastAsia="fr-FR"/>
        </w:rPr>
        <w:br/>
        <w:t>En Espagne, l'annulation de décote s'obtient après 35 années de cotisations. De plus, l'âge d'ouverture des droits est de 65 ans et 10 mois si l'assuré cotise moins de 36 années et 9 mois. Cet âge est de 60 ans pour certaines catégories de la fonction publique. L'âge de mise à la retraite d'office (65 ans) ne concerne que les fonctionnaires.</w:t>
      </w:r>
      <w:r w:rsidRPr="00DA1FC0">
        <w:rPr>
          <w:rFonts w:ascii="Times New Roman" w:eastAsia="Times New Roman" w:hAnsi="Times New Roman" w:cs="Times New Roman"/>
          <w:sz w:val="24"/>
          <w:szCs w:val="24"/>
          <w:lang w:eastAsia="fr-FR"/>
        </w:rPr>
        <w:br/>
        <w:t xml:space="preserve">En France, l'âge de mise à la retraite d'office (70 ans) ne concerne que les </w:t>
      </w:r>
      <w:proofErr w:type="spellStart"/>
      <w:r w:rsidRPr="00DA1FC0">
        <w:rPr>
          <w:rFonts w:ascii="Times New Roman" w:eastAsia="Times New Roman" w:hAnsi="Times New Roman" w:cs="Times New Roman"/>
          <w:sz w:val="24"/>
          <w:szCs w:val="24"/>
          <w:lang w:eastAsia="fr-FR"/>
        </w:rPr>
        <w:t>salairés</w:t>
      </w:r>
      <w:proofErr w:type="spellEnd"/>
      <w:r w:rsidRPr="00DA1FC0">
        <w:rPr>
          <w:rFonts w:ascii="Times New Roman" w:eastAsia="Times New Roman" w:hAnsi="Times New Roman" w:cs="Times New Roman"/>
          <w:sz w:val="24"/>
          <w:szCs w:val="24"/>
          <w:lang w:eastAsia="fr-FR"/>
        </w:rPr>
        <w:t xml:space="preserve"> du privé.</w:t>
      </w:r>
      <w:r w:rsidRPr="00DA1FC0">
        <w:rPr>
          <w:rFonts w:ascii="Times New Roman" w:eastAsia="Times New Roman" w:hAnsi="Times New Roman" w:cs="Times New Roman"/>
          <w:sz w:val="24"/>
          <w:szCs w:val="24"/>
          <w:lang w:eastAsia="fr-FR"/>
        </w:rPr>
        <w:br/>
        <w:t>Aux Pays-Bas, l'âge d'ouverture des droits en 2024 (67 ans) évoluera en fonction de l'espérance de vie.</w:t>
      </w:r>
      <w:r w:rsidRPr="00DA1FC0">
        <w:rPr>
          <w:rFonts w:ascii="Times New Roman" w:eastAsia="Times New Roman" w:hAnsi="Times New Roman" w:cs="Times New Roman"/>
          <w:sz w:val="24"/>
          <w:szCs w:val="24"/>
          <w:lang w:eastAsia="fr-FR"/>
        </w:rPr>
        <w:br/>
        <w:t xml:space="preserve">En Suède, l'âge d'ouverture des droits en 2026 (64 ans) laissera place à un âge cible qui évoluera en fonction de l'espérance de vie. </w:t>
      </w:r>
      <w:r w:rsidRPr="00DA1FC0">
        <w:drawing>
          <wp:inline distT="0" distB="0" distL="0" distR="0" wp14:anchorId="14005234" wp14:editId="76DBB298">
            <wp:extent cx="5760720" cy="3542030"/>
            <wp:effectExtent l="0" t="0" r="0" b="127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3542030"/>
                    </a:xfrm>
                    <a:prstGeom prst="rect">
                      <a:avLst/>
                    </a:prstGeom>
                  </pic:spPr>
                </pic:pic>
              </a:graphicData>
            </a:graphic>
          </wp:inline>
        </w:drawing>
      </w:r>
    </w:p>
    <w:p w14:paraId="3C35662D" w14:textId="77777777" w:rsidR="00DA1FC0" w:rsidRPr="00DA1FC0" w:rsidRDefault="00DA1FC0" w:rsidP="00DA1FC0">
      <w:pPr>
        <w:spacing w:after="0" w:line="240" w:lineRule="auto"/>
        <w:rPr>
          <w:rFonts w:ascii="Times New Roman" w:eastAsia="Times New Roman" w:hAnsi="Times New Roman" w:cs="Times New Roman"/>
          <w:sz w:val="24"/>
          <w:szCs w:val="24"/>
          <w:lang w:eastAsia="fr-FR"/>
        </w:rPr>
      </w:pPr>
      <w:r w:rsidRPr="00DA1FC0">
        <w:rPr>
          <w:rFonts w:ascii="Times New Roman" w:eastAsia="Times New Roman" w:hAnsi="Times New Roman" w:cs="Times New Roman"/>
          <w:sz w:val="24"/>
          <w:szCs w:val="24"/>
          <w:lang w:eastAsia="fr-FR"/>
        </w:rPr>
        <w:t xml:space="preserve">Source : </w:t>
      </w:r>
      <w:hyperlink r:id="rId12" w:tgtFrame="_blank" w:history="1">
        <w:r w:rsidRPr="00DA1FC0">
          <w:rPr>
            <w:rFonts w:ascii="Times New Roman" w:eastAsia="Times New Roman" w:hAnsi="Times New Roman" w:cs="Times New Roman"/>
            <w:color w:val="0000FF"/>
            <w:sz w:val="24"/>
            <w:szCs w:val="24"/>
            <w:u w:val="single"/>
            <w:lang w:eastAsia="fr-FR"/>
          </w:rPr>
          <w:t>Le panorama des systèmes de retraite en France et à l'étranger</w:t>
        </w:r>
      </w:hyperlink>
      <w:r w:rsidRPr="00DA1FC0">
        <w:rPr>
          <w:rFonts w:ascii="Times New Roman" w:eastAsia="Times New Roman" w:hAnsi="Times New Roman" w:cs="Times New Roman"/>
          <w:sz w:val="24"/>
          <w:szCs w:val="24"/>
          <w:lang w:eastAsia="fr-FR"/>
        </w:rPr>
        <w:t xml:space="preserve"> et </w:t>
      </w:r>
      <w:hyperlink r:id="rId13" w:tgtFrame="_blank" w:history="1">
        <w:r w:rsidRPr="00DA1FC0">
          <w:rPr>
            <w:rFonts w:ascii="Times New Roman" w:eastAsia="Times New Roman" w:hAnsi="Times New Roman" w:cs="Times New Roman"/>
            <w:color w:val="0000FF"/>
            <w:sz w:val="24"/>
            <w:szCs w:val="24"/>
            <w:u w:val="single"/>
            <w:lang w:eastAsia="fr-FR"/>
          </w:rPr>
          <w:t>Âges et durées de retraite dans les pays suivis par le COR</w:t>
        </w:r>
      </w:hyperlink>
      <w:r w:rsidRPr="00DA1FC0">
        <w:rPr>
          <w:rFonts w:ascii="Times New Roman" w:eastAsia="Times New Roman" w:hAnsi="Times New Roman" w:cs="Times New Roman"/>
          <w:sz w:val="24"/>
          <w:szCs w:val="24"/>
          <w:lang w:eastAsia="fr-FR"/>
        </w:rPr>
        <w:t xml:space="preserve"> </w:t>
      </w:r>
    </w:p>
    <w:p w14:paraId="679DB35F" w14:textId="5B4CC360" w:rsidR="00DA1FC0" w:rsidRPr="00DA1FC0" w:rsidRDefault="00DA1FC0" w:rsidP="00DA1FC0">
      <w:pPr>
        <w:spacing w:after="0" w:line="240" w:lineRule="auto"/>
        <w:rPr>
          <w:rFonts w:ascii="Times New Roman" w:eastAsia="Times New Roman" w:hAnsi="Times New Roman" w:cs="Times New Roman"/>
          <w:sz w:val="24"/>
          <w:szCs w:val="24"/>
          <w:lang w:eastAsia="fr-FR"/>
        </w:rPr>
      </w:pPr>
    </w:p>
    <w:p w14:paraId="27F73A5A" w14:textId="77777777" w:rsidR="00DA1FC0" w:rsidRPr="00DA1FC0" w:rsidRDefault="00DA1FC0" w:rsidP="00DA1FC0">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DA1FC0">
        <w:rPr>
          <w:rFonts w:ascii="Times New Roman" w:eastAsia="Times New Roman" w:hAnsi="Times New Roman" w:cs="Times New Roman"/>
          <w:b/>
          <w:bCs/>
          <w:sz w:val="27"/>
          <w:szCs w:val="27"/>
          <w:lang w:eastAsia="fr-FR"/>
        </w:rPr>
        <w:lastRenderedPageBreak/>
        <w:t>Une durée de cotisation mouvante</w:t>
      </w:r>
    </w:p>
    <w:p w14:paraId="52864551" w14:textId="77777777" w:rsidR="00DA1FC0" w:rsidRPr="00DA1FC0" w:rsidRDefault="00DA1FC0" w:rsidP="00DA1FC0">
      <w:pPr>
        <w:spacing w:before="100" w:beforeAutospacing="1" w:after="100" w:afterAutospacing="1" w:line="240" w:lineRule="auto"/>
        <w:rPr>
          <w:rFonts w:ascii="Times New Roman" w:eastAsia="Times New Roman" w:hAnsi="Times New Roman" w:cs="Times New Roman"/>
          <w:sz w:val="24"/>
          <w:szCs w:val="24"/>
          <w:lang w:eastAsia="fr-FR"/>
        </w:rPr>
      </w:pPr>
      <w:r w:rsidRPr="00DA1FC0">
        <w:rPr>
          <w:rFonts w:ascii="Times New Roman" w:eastAsia="Times New Roman" w:hAnsi="Times New Roman" w:cs="Times New Roman"/>
          <w:sz w:val="24"/>
          <w:szCs w:val="24"/>
          <w:lang w:eastAsia="fr-FR"/>
        </w:rPr>
        <w:t xml:space="preserve">Le plus souvent, une pension de retraite se détermine </w:t>
      </w:r>
      <w:hyperlink r:id="rId14" w:tgtFrame="_blank" w:history="1">
        <w:r w:rsidRPr="00DA1FC0">
          <w:rPr>
            <w:rFonts w:ascii="Times New Roman" w:eastAsia="Times New Roman" w:hAnsi="Times New Roman" w:cs="Times New Roman"/>
            <w:color w:val="0000FF"/>
            <w:sz w:val="24"/>
            <w:szCs w:val="24"/>
            <w:u w:val="single"/>
            <w:lang w:eastAsia="fr-FR"/>
          </w:rPr>
          <w:t>à partir d’un âge légal et d’une période de cotisation déterminée à l’avance</w:t>
        </w:r>
      </w:hyperlink>
      <w:r w:rsidRPr="00DA1FC0">
        <w:rPr>
          <w:rFonts w:ascii="Times New Roman" w:eastAsia="Times New Roman" w:hAnsi="Times New Roman" w:cs="Times New Roman"/>
          <w:sz w:val="24"/>
          <w:szCs w:val="24"/>
          <w:lang w:eastAsia="fr-FR"/>
        </w:rPr>
        <w:t>. Mais des subtilités viennent compliquer la donne.</w:t>
      </w:r>
    </w:p>
    <w:p w14:paraId="041E1E3A" w14:textId="77777777" w:rsidR="00DA1FC0" w:rsidRPr="00DA1FC0" w:rsidRDefault="00DA1FC0" w:rsidP="00DA1FC0">
      <w:pPr>
        <w:spacing w:before="100" w:beforeAutospacing="1" w:after="100" w:afterAutospacing="1" w:line="240" w:lineRule="auto"/>
        <w:rPr>
          <w:rFonts w:ascii="Times New Roman" w:eastAsia="Times New Roman" w:hAnsi="Times New Roman" w:cs="Times New Roman"/>
          <w:sz w:val="24"/>
          <w:szCs w:val="24"/>
          <w:lang w:eastAsia="fr-FR"/>
        </w:rPr>
      </w:pPr>
      <w:r w:rsidRPr="00DA1FC0">
        <w:rPr>
          <w:rFonts w:ascii="Times New Roman" w:eastAsia="Times New Roman" w:hAnsi="Times New Roman" w:cs="Times New Roman"/>
          <w:sz w:val="24"/>
          <w:szCs w:val="24"/>
          <w:lang w:eastAsia="fr-FR"/>
        </w:rPr>
        <w:t xml:space="preserve">Ainsi, certains systèmes ne prévoient pas de période de cotisation minimum : en Suède, il existe seulement un âge à partir duquel on peut ouvrir ses droits ; aux Pays-Bas, les droits de retraite sont ouverts à tous les résidents, sans même travailler. De plus, ces périodes de cotisation varient énormément d’un régime à l’autre – trente-cinq années pour les femmes italiennes (dans le cadre du système </w:t>
      </w:r>
      <w:r w:rsidRPr="00DA1FC0">
        <w:rPr>
          <w:rFonts w:ascii="Times New Roman" w:eastAsia="Times New Roman" w:hAnsi="Times New Roman" w:cs="Times New Roman"/>
          <w:i/>
          <w:iCs/>
          <w:sz w:val="24"/>
          <w:szCs w:val="24"/>
          <w:lang w:eastAsia="fr-FR"/>
        </w:rPr>
        <w:t>« </w:t>
      </w:r>
      <w:proofErr w:type="spellStart"/>
      <w:r w:rsidRPr="00DA1FC0">
        <w:rPr>
          <w:rFonts w:ascii="Times New Roman" w:eastAsia="Times New Roman" w:hAnsi="Times New Roman" w:cs="Times New Roman"/>
          <w:i/>
          <w:iCs/>
          <w:sz w:val="24"/>
          <w:szCs w:val="24"/>
          <w:lang w:eastAsia="fr-FR"/>
        </w:rPr>
        <w:t>opzione</w:t>
      </w:r>
      <w:proofErr w:type="spellEnd"/>
      <w:r w:rsidRPr="00DA1FC0">
        <w:rPr>
          <w:rFonts w:ascii="Times New Roman" w:eastAsia="Times New Roman" w:hAnsi="Times New Roman" w:cs="Times New Roman"/>
          <w:i/>
          <w:iCs/>
          <w:sz w:val="24"/>
          <w:szCs w:val="24"/>
          <w:lang w:eastAsia="fr-FR"/>
        </w:rPr>
        <w:t xml:space="preserve"> donna »</w:t>
      </w:r>
      <w:r w:rsidRPr="00DA1FC0">
        <w:rPr>
          <w:rFonts w:ascii="Times New Roman" w:eastAsia="Times New Roman" w:hAnsi="Times New Roman" w:cs="Times New Roman"/>
          <w:sz w:val="24"/>
          <w:szCs w:val="24"/>
          <w:lang w:eastAsia="fr-FR"/>
        </w:rPr>
        <w:t>) contre quarante-cinq années en Allemagne. En outre, ils ne donnent pas accès aux mêmes prestations : taux plein, décotes, surcotes…</w:t>
      </w:r>
    </w:p>
    <w:p w14:paraId="127A5CD5" w14:textId="77777777" w:rsidR="00DA1FC0" w:rsidRPr="00DA1FC0" w:rsidRDefault="00DA1FC0" w:rsidP="00DA1FC0">
      <w:pPr>
        <w:spacing w:before="100" w:beforeAutospacing="1" w:after="100" w:afterAutospacing="1" w:line="240" w:lineRule="auto"/>
        <w:rPr>
          <w:rFonts w:ascii="Times New Roman" w:eastAsia="Times New Roman" w:hAnsi="Times New Roman" w:cs="Times New Roman"/>
          <w:sz w:val="24"/>
          <w:szCs w:val="24"/>
          <w:lang w:eastAsia="fr-FR"/>
        </w:rPr>
      </w:pPr>
      <w:r w:rsidRPr="00DA1FC0">
        <w:rPr>
          <w:rFonts w:ascii="Times New Roman" w:eastAsia="Times New Roman" w:hAnsi="Times New Roman" w:cs="Times New Roman"/>
          <w:sz w:val="24"/>
          <w:szCs w:val="24"/>
          <w:lang w:eastAsia="fr-FR"/>
        </w:rPr>
        <w:t xml:space="preserve">La comparaison est encore une fois périlleuse pour les pays dotés de systèmes incitant à travailler plus tard, qui pénalisent un salarié qui s’arrête plus tôt que l’âge légal ou, au contraire, qui augmentent le niveau de sa pension s’il cotise plus longtemps. Décote et surcote ayant des conditions d’accès propres par pays, ces variables ne peuvent être comparées sans tenir compte des politiques, liées à l’emploi des seniors, dans lesquelles elles s’inscrivent. </w:t>
      </w:r>
      <w:r w:rsidRPr="00DA1FC0">
        <w:rPr>
          <w:rFonts w:ascii="Times New Roman" w:eastAsia="Times New Roman" w:hAnsi="Times New Roman" w:cs="Times New Roman"/>
          <w:i/>
          <w:iCs/>
          <w:sz w:val="24"/>
          <w:szCs w:val="24"/>
          <w:lang w:eastAsia="fr-FR"/>
        </w:rPr>
        <w:t>« A 60 ans, dans les pays nordiques, vous bénéficiez de formation, comme dans le secteur manufacturier en Allemagne. Il y a un effort massif d’amélioration et d’adaptation des conditions de travail pour les salariés vieillissants »</w:t>
      </w:r>
      <w:r w:rsidRPr="00DA1FC0">
        <w:rPr>
          <w:rFonts w:ascii="Times New Roman" w:eastAsia="Times New Roman" w:hAnsi="Times New Roman" w:cs="Times New Roman"/>
          <w:sz w:val="24"/>
          <w:szCs w:val="24"/>
          <w:lang w:eastAsia="fr-FR"/>
        </w:rPr>
        <w:t>, complète Bruno Palier, directeur de recherche au CNRS à Sciences Po.</w:t>
      </w:r>
    </w:p>
    <w:p w14:paraId="7B480EF9" w14:textId="77777777" w:rsidR="00DA1FC0" w:rsidRPr="00DA1FC0" w:rsidRDefault="00DA1FC0" w:rsidP="00DA1FC0">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DA1FC0">
        <w:rPr>
          <w:rFonts w:ascii="Times New Roman" w:eastAsia="Times New Roman" w:hAnsi="Times New Roman" w:cs="Times New Roman"/>
          <w:b/>
          <w:bCs/>
          <w:sz w:val="27"/>
          <w:szCs w:val="27"/>
          <w:lang w:eastAsia="fr-FR"/>
        </w:rPr>
        <w:t>Des niveaux de vie peu comparables</w:t>
      </w:r>
    </w:p>
    <w:p w14:paraId="16735E1F" w14:textId="77777777" w:rsidR="00DA1FC0" w:rsidRPr="00DA1FC0" w:rsidRDefault="00DA1FC0" w:rsidP="00DA1FC0">
      <w:pPr>
        <w:spacing w:before="100" w:beforeAutospacing="1" w:after="100" w:afterAutospacing="1" w:line="240" w:lineRule="auto"/>
        <w:rPr>
          <w:rFonts w:ascii="Times New Roman" w:eastAsia="Times New Roman" w:hAnsi="Times New Roman" w:cs="Times New Roman"/>
          <w:sz w:val="24"/>
          <w:szCs w:val="24"/>
          <w:lang w:eastAsia="fr-FR"/>
        </w:rPr>
      </w:pPr>
      <w:r w:rsidRPr="00DA1FC0">
        <w:rPr>
          <w:rFonts w:ascii="Times New Roman" w:eastAsia="Times New Roman" w:hAnsi="Times New Roman" w:cs="Times New Roman"/>
          <w:sz w:val="24"/>
          <w:szCs w:val="24"/>
          <w:lang w:eastAsia="fr-FR"/>
        </w:rPr>
        <w:t>Si l’on veut comparer les niveaux de vie des retraités, on peut, comme le fait l’OCDE, comparer le revenu net moyen des plus de 65 ans à celui de la population totale. On voit ainsi caracoler en tête Luxembourg, France, Italie et Portugal, tandis qu’en queue de peloton, les Baltes et Tchèques subissent un décrochage important par rapport au reste de la population quand ils arrivent à la retraite.</w:t>
      </w:r>
    </w:p>
    <w:p w14:paraId="62EE81E2" w14:textId="77777777" w:rsidR="00DA1FC0" w:rsidRPr="00DA1FC0" w:rsidRDefault="00DA1FC0" w:rsidP="00DA1FC0">
      <w:pPr>
        <w:spacing w:before="100" w:beforeAutospacing="1" w:after="100" w:afterAutospacing="1" w:line="240" w:lineRule="auto"/>
        <w:rPr>
          <w:rFonts w:ascii="Times New Roman" w:eastAsia="Times New Roman" w:hAnsi="Times New Roman" w:cs="Times New Roman"/>
          <w:sz w:val="24"/>
          <w:szCs w:val="24"/>
          <w:lang w:eastAsia="fr-FR"/>
        </w:rPr>
      </w:pPr>
      <w:r w:rsidRPr="00DA1FC0">
        <w:rPr>
          <w:rFonts w:ascii="Times New Roman" w:eastAsia="Times New Roman" w:hAnsi="Times New Roman" w:cs="Times New Roman"/>
          <w:sz w:val="24"/>
          <w:szCs w:val="24"/>
          <w:lang w:eastAsia="fr-FR"/>
        </w:rPr>
        <w:t>Cependant, ce paramètre évolue au fil de la retraite, en particulier dans les pays où les plus âgés continuent de travailler : si ces revenus occupent une place importante dans l’ensemble de leurs subsides, on observe un trou d’air au moment où ils cessent complètement de percevoir un salaire, comme en Suède, où le niveau de vie décroche violemment (− 27 points) à partir de 75 ans.</w:t>
      </w:r>
    </w:p>
    <w:p w14:paraId="72F9A4E6" w14:textId="77777777" w:rsidR="00DA1FC0" w:rsidRPr="00DA1FC0" w:rsidRDefault="00DA1FC0" w:rsidP="00DA1FC0">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DA1FC0">
        <w:rPr>
          <w:rFonts w:ascii="Times New Roman" w:eastAsia="Times New Roman" w:hAnsi="Times New Roman" w:cs="Times New Roman"/>
          <w:b/>
          <w:bCs/>
          <w:sz w:val="36"/>
          <w:szCs w:val="36"/>
          <w:lang w:eastAsia="fr-FR"/>
        </w:rPr>
        <w:t>Retraites : les revenus issus des transferts publics majoritaires quasiment partout en Europe</w:t>
      </w:r>
    </w:p>
    <w:p w14:paraId="6E37F7AC" w14:textId="77777777" w:rsidR="00DA1FC0" w:rsidRPr="00DA1FC0" w:rsidRDefault="00DA1FC0" w:rsidP="00DA1FC0">
      <w:pPr>
        <w:spacing w:after="0" w:line="240" w:lineRule="auto"/>
        <w:rPr>
          <w:rFonts w:ascii="Times New Roman" w:eastAsia="Times New Roman" w:hAnsi="Times New Roman" w:cs="Times New Roman"/>
          <w:sz w:val="24"/>
          <w:szCs w:val="24"/>
          <w:lang w:eastAsia="fr-FR"/>
        </w:rPr>
      </w:pPr>
      <w:r w:rsidRPr="00DA1FC0">
        <w:rPr>
          <w:rFonts w:ascii="Times New Roman" w:eastAsia="Times New Roman" w:hAnsi="Times New Roman" w:cs="Times New Roman"/>
          <w:sz w:val="24"/>
          <w:szCs w:val="24"/>
          <w:lang w:eastAsia="fr-FR"/>
        </w:rPr>
        <w:t>Dans certains pays, la capitalisation peut se faire via l'entreprise ; ces « transferts professionnels » peuvent être obligatoires, comme aux Pays-Bas ou au Royaume-Uni.</w:t>
      </w:r>
    </w:p>
    <w:p w14:paraId="742585E1" w14:textId="2F85E1D8" w:rsidR="00DA1FC0" w:rsidRPr="00DA1FC0" w:rsidRDefault="00DA1FC0" w:rsidP="00DA1FC0">
      <w:pPr>
        <w:spacing w:after="0" w:line="240" w:lineRule="auto"/>
        <w:rPr>
          <w:rFonts w:ascii="Times New Roman" w:eastAsia="Times New Roman" w:hAnsi="Times New Roman" w:cs="Times New Roman"/>
          <w:sz w:val="24"/>
          <w:szCs w:val="24"/>
          <w:lang w:eastAsia="fr-FR"/>
        </w:rPr>
      </w:pPr>
      <w:r w:rsidRPr="00DA1FC0">
        <w:rPr>
          <w:rFonts w:ascii="Times New Roman" w:eastAsia="Times New Roman" w:hAnsi="Times New Roman" w:cs="Times New Roman"/>
          <w:noProof/>
          <w:sz w:val="24"/>
          <w:szCs w:val="24"/>
          <w:lang w:eastAsia="fr-FR"/>
        </w:rPr>
        <mc:AlternateContent>
          <mc:Choice Requires="wps">
            <w:drawing>
              <wp:inline distT="0" distB="0" distL="0" distR="0" wp14:anchorId="57ECBC17" wp14:editId="2D72FDF8">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17B559"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E8E0771" w14:textId="78E37AC9" w:rsidR="00DA1FC0" w:rsidRPr="00DA1FC0" w:rsidRDefault="00DA1FC0" w:rsidP="00DA1FC0">
      <w:pPr>
        <w:spacing w:after="0" w:line="240" w:lineRule="auto"/>
        <w:rPr>
          <w:rFonts w:ascii="Times New Roman" w:eastAsia="Times New Roman" w:hAnsi="Times New Roman" w:cs="Times New Roman"/>
          <w:sz w:val="24"/>
          <w:szCs w:val="24"/>
          <w:lang w:eastAsia="fr-FR"/>
        </w:rPr>
      </w:pPr>
      <w:r w:rsidRPr="00DA1FC0">
        <w:lastRenderedPageBreak/>
        <w:drawing>
          <wp:inline distT="0" distB="0" distL="0" distR="0" wp14:anchorId="49EA78CA" wp14:editId="055DA581">
            <wp:extent cx="5760720" cy="616204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6162040"/>
                    </a:xfrm>
                    <a:prstGeom prst="rect">
                      <a:avLst/>
                    </a:prstGeom>
                  </pic:spPr>
                </pic:pic>
              </a:graphicData>
            </a:graphic>
          </wp:inline>
        </w:drawing>
      </w:r>
    </w:p>
    <w:p w14:paraId="09C059E3" w14:textId="77777777" w:rsidR="00DA1FC0" w:rsidRPr="00DA1FC0" w:rsidRDefault="00DA1FC0" w:rsidP="00DA1FC0">
      <w:pPr>
        <w:spacing w:before="100" w:beforeAutospacing="1" w:after="100" w:afterAutospacing="1" w:line="240" w:lineRule="auto"/>
        <w:rPr>
          <w:rFonts w:ascii="Times New Roman" w:eastAsia="Times New Roman" w:hAnsi="Times New Roman" w:cs="Times New Roman"/>
          <w:sz w:val="24"/>
          <w:szCs w:val="24"/>
          <w:lang w:eastAsia="fr-FR"/>
        </w:rPr>
      </w:pPr>
      <w:r w:rsidRPr="00DA1FC0">
        <w:rPr>
          <w:rFonts w:ascii="Times New Roman" w:eastAsia="Times New Roman" w:hAnsi="Times New Roman" w:cs="Times New Roman"/>
          <w:sz w:val="24"/>
          <w:szCs w:val="24"/>
          <w:lang w:eastAsia="fr-FR"/>
        </w:rPr>
        <w:t>Une autre valeur est fréquemment utilisée pour comparer les régimes : le taux de remplacement, qui rapporte le niveau de la pension du retraité à son ancien salaire. Même en se concentrant sur un cas type (carrière complète dans le privé, commencée à 22 ans) et des hypothèses macroéconomiques communes (comme un taux d’inflation fixé artificiellement au même niveau dans tous les pays), la disparité des systèmes de retraite empêche toute comparaison pertinente. Les Italiens bénéficient, par exemple, d’un taux de remplacement supérieur à 80 %, mais ce dernier est susceptible de fondre si l’espérance de vie augmente. En effet, dans un système à cotisations définies où un salarié sait combien il doit verser (contrairement à la France, où il sait combien il va toucher), les prestations annuelles sont réévaluées régulièrement en fonction de l’espérance de vie de chaque génération.</w:t>
      </w:r>
    </w:p>
    <w:p w14:paraId="33451928" w14:textId="77777777" w:rsidR="00DA1FC0" w:rsidRPr="00DA1FC0" w:rsidRDefault="00DA1FC0" w:rsidP="00DA1FC0">
      <w:pPr>
        <w:spacing w:before="100" w:beforeAutospacing="1" w:after="100" w:afterAutospacing="1" w:line="240" w:lineRule="auto"/>
        <w:rPr>
          <w:rFonts w:ascii="Times New Roman" w:eastAsia="Times New Roman" w:hAnsi="Times New Roman" w:cs="Times New Roman"/>
          <w:sz w:val="24"/>
          <w:szCs w:val="24"/>
          <w:lang w:eastAsia="fr-FR"/>
        </w:rPr>
      </w:pPr>
      <w:r w:rsidRPr="00DA1FC0">
        <w:rPr>
          <w:rFonts w:ascii="Times New Roman" w:eastAsia="Times New Roman" w:hAnsi="Times New Roman" w:cs="Times New Roman"/>
          <w:i/>
          <w:iCs/>
          <w:sz w:val="24"/>
          <w:szCs w:val="24"/>
          <w:lang w:eastAsia="fr-FR"/>
        </w:rPr>
        <w:t>« En toute rigueur, il faudrait également inclure dans la rémunération des salariés du privé les éléments d’épargne salariale, mais c’est en général plus difficile car les informations chiffrées sur ce sujet sont partielles »</w:t>
      </w:r>
      <w:r w:rsidRPr="00DA1FC0">
        <w:rPr>
          <w:rFonts w:ascii="Times New Roman" w:eastAsia="Times New Roman" w:hAnsi="Times New Roman" w:cs="Times New Roman"/>
          <w:sz w:val="24"/>
          <w:szCs w:val="24"/>
          <w:lang w:eastAsia="fr-FR"/>
        </w:rPr>
        <w:t xml:space="preserve">, </w:t>
      </w:r>
      <w:hyperlink r:id="rId16" w:tgtFrame="_blank" w:tooltip="Nouvelle fenêtre" w:history="1">
        <w:r w:rsidRPr="00DA1FC0">
          <w:rPr>
            <w:rFonts w:ascii="Times New Roman" w:eastAsia="Times New Roman" w:hAnsi="Times New Roman" w:cs="Times New Roman"/>
            <w:color w:val="0000FF"/>
            <w:sz w:val="24"/>
            <w:szCs w:val="24"/>
            <w:u w:val="single"/>
            <w:lang w:eastAsia="fr-FR"/>
          </w:rPr>
          <w:t>ajoute le COR</w:t>
        </w:r>
      </w:hyperlink>
      <w:r w:rsidRPr="00DA1FC0">
        <w:rPr>
          <w:rFonts w:ascii="Times New Roman" w:eastAsia="Times New Roman" w:hAnsi="Times New Roman" w:cs="Times New Roman"/>
          <w:sz w:val="24"/>
          <w:szCs w:val="24"/>
          <w:lang w:eastAsia="fr-FR"/>
        </w:rPr>
        <w:t>.</w:t>
      </w:r>
    </w:p>
    <w:p w14:paraId="7CE2D624" w14:textId="77777777" w:rsidR="00DA1FC0" w:rsidRPr="00DA1FC0" w:rsidRDefault="00DA1FC0" w:rsidP="00DA1FC0">
      <w:pPr>
        <w:spacing w:before="100" w:beforeAutospacing="1" w:after="100" w:afterAutospacing="1" w:line="240" w:lineRule="auto"/>
        <w:rPr>
          <w:rFonts w:ascii="Times New Roman" w:eastAsia="Times New Roman" w:hAnsi="Times New Roman" w:cs="Times New Roman"/>
          <w:sz w:val="24"/>
          <w:szCs w:val="24"/>
          <w:lang w:eastAsia="fr-FR"/>
        </w:rPr>
      </w:pPr>
      <w:r w:rsidRPr="00DA1FC0">
        <w:rPr>
          <w:rFonts w:ascii="Times New Roman" w:eastAsia="Times New Roman" w:hAnsi="Times New Roman" w:cs="Times New Roman"/>
          <w:sz w:val="24"/>
          <w:szCs w:val="24"/>
          <w:lang w:eastAsia="fr-FR"/>
        </w:rPr>
        <w:lastRenderedPageBreak/>
        <w:t xml:space="preserve">Dernière subtilité, certaines pensions sont revalorisées au cours du temps afin de maintenir le pouvoir d’achat des retraités, rendant vaines les comparaisons des taux de remplacement lors de la liquidation. En France, les prestations du régime de base </w:t>
      </w:r>
      <w:hyperlink r:id="rId17" w:tgtFrame="_blank" w:tooltip="Nouvelle fenêtre" w:history="1">
        <w:r w:rsidRPr="00DA1FC0">
          <w:rPr>
            <w:rFonts w:ascii="Times New Roman" w:eastAsia="Times New Roman" w:hAnsi="Times New Roman" w:cs="Times New Roman"/>
            <w:color w:val="0000FF"/>
            <w:sz w:val="24"/>
            <w:szCs w:val="24"/>
            <w:u w:val="single"/>
            <w:lang w:eastAsia="fr-FR"/>
          </w:rPr>
          <w:t>sont censées être revalorisées</w:t>
        </w:r>
      </w:hyperlink>
      <w:r w:rsidRPr="00DA1FC0">
        <w:rPr>
          <w:rFonts w:ascii="Times New Roman" w:eastAsia="Times New Roman" w:hAnsi="Times New Roman" w:cs="Times New Roman"/>
          <w:sz w:val="24"/>
          <w:szCs w:val="24"/>
          <w:lang w:eastAsia="fr-FR"/>
        </w:rPr>
        <w:t xml:space="preserve"> en fonction de l’inflation, au moins une fois par an ; en Allemagne et aux Pays-Bas, le montant des pensions suit l’évolution des salaires.</w:t>
      </w:r>
    </w:p>
    <w:p w14:paraId="253E0F47" w14:textId="77777777" w:rsidR="00DA1FC0" w:rsidRPr="00DA1FC0" w:rsidRDefault="00DA1FC0" w:rsidP="00DA1FC0">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DA1FC0">
        <w:rPr>
          <w:rFonts w:ascii="Times New Roman" w:eastAsia="Times New Roman" w:hAnsi="Times New Roman" w:cs="Times New Roman"/>
          <w:b/>
          <w:bCs/>
          <w:sz w:val="27"/>
          <w:szCs w:val="27"/>
          <w:lang w:eastAsia="fr-FR"/>
        </w:rPr>
        <w:t>Des régimes spéciaux aux définitions diverses</w:t>
      </w:r>
    </w:p>
    <w:p w14:paraId="58DCD55B" w14:textId="77777777" w:rsidR="00DA1FC0" w:rsidRPr="00DA1FC0" w:rsidRDefault="00DA1FC0" w:rsidP="00DA1FC0">
      <w:pPr>
        <w:spacing w:before="100" w:beforeAutospacing="1" w:after="100" w:afterAutospacing="1" w:line="240" w:lineRule="auto"/>
        <w:rPr>
          <w:rFonts w:ascii="Times New Roman" w:eastAsia="Times New Roman" w:hAnsi="Times New Roman" w:cs="Times New Roman"/>
          <w:sz w:val="24"/>
          <w:szCs w:val="24"/>
          <w:lang w:eastAsia="fr-FR"/>
        </w:rPr>
      </w:pPr>
      <w:r w:rsidRPr="00DA1FC0">
        <w:rPr>
          <w:rFonts w:ascii="Times New Roman" w:eastAsia="Times New Roman" w:hAnsi="Times New Roman" w:cs="Times New Roman"/>
          <w:sz w:val="24"/>
          <w:szCs w:val="24"/>
          <w:lang w:eastAsia="fr-FR"/>
        </w:rPr>
        <w:t>Contrairement à une idée reçue, les régimes spéciaux ne sont pas une exception française : ils</w:t>
      </w:r>
      <w:r w:rsidRPr="00DA1FC0">
        <w:rPr>
          <w:rFonts w:ascii="Times New Roman" w:eastAsia="Times New Roman" w:hAnsi="Times New Roman" w:cs="Times New Roman"/>
          <w:i/>
          <w:iCs/>
          <w:sz w:val="24"/>
          <w:szCs w:val="24"/>
          <w:lang w:eastAsia="fr-FR"/>
        </w:rPr>
        <w:t xml:space="preserve"> « existent dans presque tous les Etats de l’Union européenne »</w:t>
      </w:r>
      <w:r w:rsidRPr="00DA1FC0">
        <w:rPr>
          <w:rFonts w:ascii="Times New Roman" w:eastAsia="Times New Roman" w:hAnsi="Times New Roman" w:cs="Times New Roman"/>
          <w:sz w:val="24"/>
          <w:szCs w:val="24"/>
          <w:lang w:eastAsia="fr-FR"/>
        </w:rPr>
        <w:t xml:space="preserve">, observe </w:t>
      </w:r>
      <w:hyperlink r:id="rId18" w:tgtFrame="_blank" w:tooltip="Nouvelle fenêtre" w:history="1">
        <w:r w:rsidRPr="00DA1FC0">
          <w:rPr>
            <w:rFonts w:ascii="Times New Roman" w:eastAsia="Times New Roman" w:hAnsi="Times New Roman" w:cs="Times New Roman"/>
            <w:color w:val="0000FF"/>
            <w:sz w:val="24"/>
            <w:szCs w:val="24"/>
            <w:u w:val="single"/>
            <w:lang w:eastAsia="fr-FR"/>
          </w:rPr>
          <w:t>un rapport de la Commission européenne</w:t>
        </w:r>
      </w:hyperlink>
      <w:r w:rsidRPr="00DA1FC0">
        <w:rPr>
          <w:rFonts w:ascii="Times New Roman" w:eastAsia="Times New Roman" w:hAnsi="Times New Roman" w:cs="Times New Roman"/>
          <w:sz w:val="24"/>
          <w:szCs w:val="24"/>
          <w:lang w:eastAsia="fr-FR"/>
        </w:rPr>
        <w:t>.</w:t>
      </w:r>
    </w:p>
    <w:p w14:paraId="2AF1F79A" w14:textId="77777777" w:rsidR="00DA1FC0" w:rsidRPr="00DA1FC0" w:rsidRDefault="00DA1FC0" w:rsidP="00DA1FC0">
      <w:pPr>
        <w:spacing w:before="100" w:beforeAutospacing="1" w:after="100" w:afterAutospacing="1" w:line="240" w:lineRule="auto"/>
        <w:rPr>
          <w:rFonts w:ascii="Times New Roman" w:eastAsia="Times New Roman" w:hAnsi="Times New Roman" w:cs="Times New Roman"/>
          <w:sz w:val="24"/>
          <w:szCs w:val="24"/>
          <w:lang w:eastAsia="fr-FR"/>
        </w:rPr>
      </w:pPr>
      <w:r w:rsidRPr="00DA1FC0">
        <w:rPr>
          <w:rFonts w:ascii="Times New Roman" w:eastAsia="Times New Roman" w:hAnsi="Times New Roman" w:cs="Times New Roman"/>
          <w:sz w:val="24"/>
          <w:szCs w:val="24"/>
          <w:lang w:eastAsia="fr-FR"/>
        </w:rPr>
        <w:t>Dans les grandes lignes, les régimes spéciaux désignent des régimes de retraite publics avantageux, réservés à certaines catégories professionnelles pénibles (mineurs, cheminots…) ou essentielles à la bonne marche de l’Etat (fonctionnaires, militaires, forces de l’ordre…). Toutefois, dans le détail, leur périmètre exact varie beaucoup selon les pays : ainsi, les sportifs professionnels disposent d’un régime spécial en Italie, comme les toreros en Espagne ou les journalistes en Belgique.</w:t>
      </w:r>
    </w:p>
    <w:p w14:paraId="1FB485DF" w14:textId="77777777" w:rsidR="00DA1FC0" w:rsidRPr="00DA1FC0" w:rsidRDefault="00DA1FC0" w:rsidP="00DA1FC0">
      <w:pPr>
        <w:spacing w:before="100" w:beforeAutospacing="1" w:after="100" w:afterAutospacing="1" w:line="240" w:lineRule="auto"/>
        <w:rPr>
          <w:rFonts w:ascii="Times New Roman" w:eastAsia="Times New Roman" w:hAnsi="Times New Roman" w:cs="Times New Roman"/>
          <w:sz w:val="24"/>
          <w:szCs w:val="24"/>
          <w:lang w:eastAsia="fr-FR"/>
        </w:rPr>
      </w:pPr>
      <w:r w:rsidRPr="00DA1FC0">
        <w:rPr>
          <w:rFonts w:ascii="Times New Roman" w:eastAsia="Times New Roman" w:hAnsi="Times New Roman" w:cs="Times New Roman"/>
          <w:sz w:val="24"/>
          <w:szCs w:val="24"/>
          <w:lang w:eastAsia="fr-FR"/>
        </w:rPr>
        <w:t>Alors que les régimes spéciaux ne concernent que 2,2 % des retraités en Irlande, ils bénéficient à 22 % des retraités polonais, selon le même rapport de la Commission européenne.</w:t>
      </w:r>
    </w:p>
    <w:p w14:paraId="6B8074F4" w14:textId="77777777" w:rsidR="00DA1FC0" w:rsidRPr="00DA1FC0" w:rsidRDefault="00DA1FC0" w:rsidP="00DA1FC0">
      <w:pPr>
        <w:spacing w:before="100" w:beforeAutospacing="1" w:after="100" w:afterAutospacing="1" w:line="240" w:lineRule="auto"/>
        <w:rPr>
          <w:rFonts w:ascii="Times New Roman" w:eastAsia="Times New Roman" w:hAnsi="Times New Roman" w:cs="Times New Roman"/>
          <w:sz w:val="24"/>
          <w:szCs w:val="24"/>
          <w:lang w:eastAsia="fr-FR"/>
        </w:rPr>
      </w:pPr>
      <w:r w:rsidRPr="00DA1FC0">
        <w:rPr>
          <w:rFonts w:ascii="Times New Roman" w:eastAsia="Times New Roman" w:hAnsi="Times New Roman" w:cs="Times New Roman"/>
          <w:sz w:val="24"/>
          <w:szCs w:val="24"/>
          <w:lang w:eastAsia="fr-FR"/>
        </w:rPr>
        <w:t>L’idée même que les régimes spéciaux soient liés à une corporation n’est pas universelle : ils concernent les prêtres et les évêques au Danemark, les mères de famille nombreuse en Lituanie, les victimes de Tchernobyl en Lettonie. En France, ce type de situation relèverait plutôt des prestations sociales liées à la famille ou à la santé, ce qui fausse la comparaison.</w:t>
      </w:r>
    </w:p>
    <w:p w14:paraId="3A13B6A4" w14:textId="77777777" w:rsidR="00DA1FC0" w:rsidRPr="00DA1FC0" w:rsidRDefault="00DA1FC0" w:rsidP="00DA1FC0">
      <w:pPr>
        <w:spacing w:before="100" w:beforeAutospacing="1" w:after="100" w:afterAutospacing="1" w:line="240" w:lineRule="auto"/>
        <w:rPr>
          <w:rFonts w:ascii="Times New Roman" w:eastAsia="Times New Roman" w:hAnsi="Times New Roman" w:cs="Times New Roman"/>
          <w:sz w:val="24"/>
          <w:szCs w:val="24"/>
          <w:lang w:eastAsia="fr-FR"/>
        </w:rPr>
      </w:pPr>
      <w:r w:rsidRPr="00DA1FC0">
        <w:rPr>
          <w:rFonts w:ascii="Times New Roman" w:eastAsia="Times New Roman" w:hAnsi="Times New Roman" w:cs="Times New Roman"/>
          <w:sz w:val="24"/>
          <w:szCs w:val="24"/>
          <w:lang w:eastAsia="fr-FR"/>
        </w:rPr>
        <w:t xml:space="preserve">Le dernier présupposé concerne leur caractère avantageux : les Pays-Bas et la Suède ont ainsi des régimes spéciaux qui n’accordent aucun avantage. Enfin, un point purement pratique empêche de les comparer : le dernier recensement des régimes spéciaux dans l’Union européenne s’est fait sur la base du volontariat. </w:t>
      </w:r>
      <w:r w:rsidRPr="00DA1FC0">
        <w:rPr>
          <w:rFonts w:ascii="Times New Roman" w:eastAsia="Times New Roman" w:hAnsi="Times New Roman" w:cs="Times New Roman"/>
          <w:i/>
          <w:iCs/>
          <w:sz w:val="24"/>
          <w:szCs w:val="24"/>
          <w:lang w:eastAsia="fr-FR"/>
        </w:rPr>
        <w:t>« Résultat, dans la plupart des cas, aucune projection détaillée n’est disponible »</w:t>
      </w:r>
      <w:r w:rsidRPr="00DA1FC0">
        <w:rPr>
          <w:rFonts w:ascii="Times New Roman" w:eastAsia="Times New Roman" w:hAnsi="Times New Roman" w:cs="Times New Roman"/>
          <w:sz w:val="24"/>
          <w:szCs w:val="24"/>
          <w:lang w:eastAsia="fr-FR"/>
        </w:rPr>
        <w:t>, regrette la Commission européenne.</w:t>
      </w:r>
    </w:p>
    <w:p w14:paraId="2152911D" w14:textId="77777777" w:rsidR="00DA1FC0" w:rsidRPr="00DA1FC0" w:rsidRDefault="00DA1FC0" w:rsidP="00DA1FC0">
      <w:pPr>
        <w:spacing w:before="100" w:beforeAutospacing="1" w:after="100" w:afterAutospacing="1" w:line="240" w:lineRule="auto"/>
        <w:rPr>
          <w:rFonts w:ascii="Times New Roman" w:eastAsia="Times New Roman" w:hAnsi="Times New Roman" w:cs="Times New Roman"/>
          <w:sz w:val="24"/>
          <w:szCs w:val="24"/>
          <w:lang w:eastAsia="fr-FR"/>
        </w:rPr>
      </w:pPr>
      <w:r w:rsidRPr="00DA1FC0">
        <w:rPr>
          <w:rFonts w:ascii="Times New Roman" w:eastAsia="Times New Roman" w:hAnsi="Times New Roman" w:cs="Times New Roman"/>
          <w:sz w:val="24"/>
          <w:szCs w:val="24"/>
          <w:lang w:eastAsia="fr-FR"/>
        </w:rPr>
        <w:t xml:space="preserve">Mathilde Damgé, Dorian Jullien et William </w:t>
      </w:r>
      <w:proofErr w:type="spellStart"/>
      <w:r w:rsidRPr="00DA1FC0">
        <w:rPr>
          <w:rFonts w:ascii="Times New Roman" w:eastAsia="Times New Roman" w:hAnsi="Times New Roman" w:cs="Times New Roman"/>
          <w:sz w:val="24"/>
          <w:szCs w:val="24"/>
          <w:lang w:eastAsia="fr-FR"/>
        </w:rPr>
        <w:t>Audureau</w:t>
      </w:r>
      <w:proofErr w:type="spellEnd"/>
    </w:p>
    <w:p w14:paraId="6CEC98B6" w14:textId="77777777" w:rsidR="009013A2" w:rsidRDefault="009013A2"/>
    <w:sectPr w:rsidR="009013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FC0"/>
    <w:rsid w:val="009013A2"/>
    <w:rsid w:val="00DA1F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8F956"/>
  <w15:chartTrackingRefBased/>
  <w15:docId w15:val="{39A6C0DE-A411-48FE-B159-98A8C3677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DA1FC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DA1FC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A1FC0"/>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DA1FC0"/>
    <w:rPr>
      <w:rFonts w:ascii="Times New Roman" w:eastAsia="Times New Roman" w:hAnsi="Times New Roman" w:cs="Times New Roman"/>
      <w:b/>
      <w:bCs/>
      <w:sz w:val="27"/>
      <w:szCs w:val="27"/>
      <w:lang w:eastAsia="fr-FR"/>
    </w:rPr>
  </w:style>
  <w:style w:type="paragraph" w:customStyle="1" w:styleId="yiv2119968657articledesc">
    <w:name w:val="yiv2119968657article__desc"/>
    <w:basedOn w:val="Normal"/>
    <w:rsid w:val="00DA1FC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iv2119968657meta">
    <w:name w:val="yiv2119968657meta"/>
    <w:basedOn w:val="Normal"/>
    <w:rsid w:val="00DA1FC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2119968657metaauthor">
    <w:name w:val="yiv2119968657meta__author"/>
    <w:basedOn w:val="Policepardfaut"/>
    <w:rsid w:val="00DA1FC0"/>
  </w:style>
  <w:style w:type="character" w:customStyle="1" w:styleId="yiv2119968657metadate">
    <w:name w:val="yiv2119968657meta__date"/>
    <w:basedOn w:val="Policepardfaut"/>
    <w:rsid w:val="00DA1FC0"/>
  </w:style>
  <w:style w:type="character" w:customStyle="1" w:styleId="yiv2119968657sr-only">
    <w:name w:val="yiv2119968657sr-only"/>
    <w:basedOn w:val="Policepardfaut"/>
    <w:rsid w:val="00DA1FC0"/>
  </w:style>
  <w:style w:type="character" w:customStyle="1" w:styleId="yiv2119968657articlecredit">
    <w:name w:val="yiv2119968657article__credit"/>
    <w:basedOn w:val="Policepardfaut"/>
    <w:rsid w:val="00DA1FC0"/>
  </w:style>
  <w:style w:type="paragraph" w:customStyle="1" w:styleId="yiv2119968657articleparagraph">
    <w:name w:val="yiv2119968657article__paragraph"/>
    <w:basedOn w:val="Normal"/>
    <w:rsid w:val="00DA1FC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DA1FC0"/>
    <w:rPr>
      <w:i/>
      <w:iCs/>
    </w:rPr>
  </w:style>
  <w:style w:type="character" w:styleId="Lienhypertexte">
    <w:name w:val="Hyperlink"/>
    <w:basedOn w:val="Policepardfaut"/>
    <w:uiPriority w:val="99"/>
    <w:semiHidden/>
    <w:unhideWhenUsed/>
    <w:rsid w:val="00DA1FC0"/>
    <w:rPr>
      <w:color w:val="0000FF"/>
      <w:u w:val="single"/>
    </w:rPr>
  </w:style>
  <w:style w:type="character" w:styleId="lev">
    <w:name w:val="Strong"/>
    <w:basedOn w:val="Policepardfaut"/>
    <w:uiPriority w:val="22"/>
    <w:qFormat/>
    <w:rsid w:val="00DA1FC0"/>
    <w:rPr>
      <w:b/>
      <w:bCs/>
    </w:rPr>
  </w:style>
  <w:style w:type="character" w:customStyle="1" w:styleId="yiv2119968657catchertitle">
    <w:name w:val="yiv2119968657catcher__title"/>
    <w:basedOn w:val="Policepardfaut"/>
    <w:rsid w:val="00DA1FC0"/>
  </w:style>
  <w:style w:type="character" w:customStyle="1" w:styleId="yiv2119968657catcherdesc">
    <w:name w:val="yiv2119968657catcher__desc"/>
    <w:basedOn w:val="Policepardfaut"/>
    <w:rsid w:val="00DA1FC0"/>
  </w:style>
  <w:style w:type="paragraph" w:customStyle="1" w:styleId="yiv2119968657articleauthor-container">
    <w:name w:val="yiv2119968657article__author-container"/>
    <w:basedOn w:val="Normal"/>
    <w:rsid w:val="00DA1FC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2119968657authorname">
    <w:name w:val="yiv2119968657author__name"/>
    <w:basedOn w:val="Policepardfaut"/>
    <w:rsid w:val="00DA1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310653">
      <w:bodyDiv w:val="1"/>
      <w:marLeft w:val="0"/>
      <w:marRight w:val="0"/>
      <w:marTop w:val="0"/>
      <w:marBottom w:val="0"/>
      <w:divBdr>
        <w:top w:val="none" w:sz="0" w:space="0" w:color="auto"/>
        <w:left w:val="none" w:sz="0" w:space="0" w:color="auto"/>
        <w:bottom w:val="none" w:sz="0" w:space="0" w:color="auto"/>
        <w:right w:val="none" w:sz="0" w:space="0" w:color="auto"/>
      </w:divBdr>
      <w:divsChild>
        <w:div w:id="512839961">
          <w:marLeft w:val="0"/>
          <w:marRight w:val="0"/>
          <w:marTop w:val="0"/>
          <w:marBottom w:val="0"/>
          <w:divBdr>
            <w:top w:val="none" w:sz="0" w:space="0" w:color="auto"/>
            <w:left w:val="none" w:sz="0" w:space="0" w:color="auto"/>
            <w:bottom w:val="none" w:sz="0" w:space="0" w:color="auto"/>
            <w:right w:val="none" w:sz="0" w:space="0" w:color="auto"/>
          </w:divBdr>
        </w:div>
        <w:div w:id="110169610">
          <w:marLeft w:val="0"/>
          <w:marRight w:val="0"/>
          <w:marTop w:val="0"/>
          <w:marBottom w:val="0"/>
          <w:divBdr>
            <w:top w:val="none" w:sz="0" w:space="0" w:color="auto"/>
            <w:left w:val="none" w:sz="0" w:space="0" w:color="auto"/>
            <w:bottom w:val="none" w:sz="0" w:space="0" w:color="auto"/>
            <w:right w:val="none" w:sz="0" w:space="0" w:color="auto"/>
          </w:divBdr>
          <w:divsChild>
            <w:div w:id="1067066822">
              <w:marLeft w:val="0"/>
              <w:marRight w:val="0"/>
              <w:marTop w:val="0"/>
              <w:marBottom w:val="0"/>
              <w:divBdr>
                <w:top w:val="none" w:sz="0" w:space="0" w:color="auto"/>
                <w:left w:val="none" w:sz="0" w:space="0" w:color="auto"/>
                <w:bottom w:val="none" w:sz="0" w:space="0" w:color="auto"/>
                <w:right w:val="none" w:sz="0" w:space="0" w:color="auto"/>
              </w:divBdr>
              <w:divsChild>
                <w:div w:id="1592228777">
                  <w:marLeft w:val="0"/>
                  <w:marRight w:val="0"/>
                  <w:marTop w:val="0"/>
                  <w:marBottom w:val="0"/>
                  <w:divBdr>
                    <w:top w:val="none" w:sz="0" w:space="0" w:color="auto"/>
                    <w:left w:val="none" w:sz="0" w:space="0" w:color="auto"/>
                    <w:bottom w:val="none" w:sz="0" w:space="0" w:color="auto"/>
                    <w:right w:val="none" w:sz="0" w:space="0" w:color="auto"/>
                  </w:divBdr>
                </w:div>
              </w:divsChild>
            </w:div>
            <w:div w:id="694815485">
              <w:marLeft w:val="0"/>
              <w:marRight w:val="0"/>
              <w:marTop w:val="0"/>
              <w:marBottom w:val="0"/>
              <w:divBdr>
                <w:top w:val="none" w:sz="0" w:space="0" w:color="auto"/>
                <w:left w:val="none" w:sz="0" w:space="0" w:color="auto"/>
                <w:bottom w:val="none" w:sz="0" w:space="0" w:color="auto"/>
                <w:right w:val="none" w:sz="0" w:space="0" w:color="auto"/>
              </w:divBdr>
            </w:div>
          </w:divsChild>
        </w:div>
        <w:div w:id="625695843">
          <w:marLeft w:val="0"/>
          <w:marRight w:val="0"/>
          <w:marTop w:val="0"/>
          <w:marBottom w:val="0"/>
          <w:divBdr>
            <w:top w:val="none" w:sz="0" w:space="0" w:color="auto"/>
            <w:left w:val="none" w:sz="0" w:space="0" w:color="auto"/>
            <w:bottom w:val="none" w:sz="0" w:space="0" w:color="auto"/>
            <w:right w:val="none" w:sz="0" w:space="0" w:color="auto"/>
          </w:divBdr>
        </w:div>
        <w:div w:id="862867898">
          <w:marLeft w:val="0"/>
          <w:marRight w:val="0"/>
          <w:marTop w:val="0"/>
          <w:marBottom w:val="0"/>
          <w:divBdr>
            <w:top w:val="none" w:sz="0" w:space="0" w:color="auto"/>
            <w:left w:val="none" w:sz="0" w:space="0" w:color="auto"/>
            <w:bottom w:val="none" w:sz="0" w:space="0" w:color="auto"/>
            <w:right w:val="none" w:sz="0" w:space="0" w:color="auto"/>
          </w:divBdr>
          <w:divsChild>
            <w:div w:id="89132434">
              <w:marLeft w:val="0"/>
              <w:marRight w:val="0"/>
              <w:marTop w:val="0"/>
              <w:marBottom w:val="0"/>
              <w:divBdr>
                <w:top w:val="none" w:sz="0" w:space="0" w:color="auto"/>
                <w:left w:val="none" w:sz="0" w:space="0" w:color="auto"/>
                <w:bottom w:val="none" w:sz="0" w:space="0" w:color="auto"/>
                <w:right w:val="none" w:sz="0" w:space="0" w:color="auto"/>
              </w:divBdr>
              <w:divsChild>
                <w:div w:id="1321351706">
                  <w:marLeft w:val="0"/>
                  <w:marRight w:val="0"/>
                  <w:marTop w:val="0"/>
                  <w:marBottom w:val="0"/>
                  <w:divBdr>
                    <w:top w:val="none" w:sz="0" w:space="0" w:color="auto"/>
                    <w:left w:val="none" w:sz="0" w:space="0" w:color="auto"/>
                    <w:bottom w:val="none" w:sz="0" w:space="0" w:color="auto"/>
                    <w:right w:val="none" w:sz="0" w:space="0" w:color="auto"/>
                  </w:divBdr>
                  <w:divsChild>
                    <w:div w:id="180585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935939">
          <w:marLeft w:val="0"/>
          <w:marRight w:val="0"/>
          <w:marTop w:val="0"/>
          <w:marBottom w:val="0"/>
          <w:divBdr>
            <w:top w:val="none" w:sz="0" w:space="0" w:color="auto"/>
            <w:left w:val="none" w:sz="0" w:space="0" w:color="auto"/>
            <w:bottom w:val="none" w:sz="0" w:space="0" w:color="auto"/>
            <w:right w:val="none" w:sz="0" w:space="0" w:color="auto"/>
          </w:divBdr>
          <w:divsChild>
            <w:div w:id="843783586">
              <w:marLeft w:val="0"/>
              <w:marRight w:val="0"/>
              <w:marTop w:val="0"/>
              <w:marBottom w:val="0"/>
              <w:divBdr>
                <w:top w:val="none" w:sz="0" w:space="0" w:color="auto"/>
                <w:left w:val="none" w:sz="0" w:space="0" w:color="auto"/>
                <w:bottom w:val="none" w:sz="0" w:space="0" w:color="auto"/>
                <w:right w:val="none" w:sz="0" w:space="0" w:color="auto"/>
              </w:divBdr>
              <w:divsChild>
                <w:div w:id="1953440498">
                  <w:marLeft w:val="0"/>
                  <w:marRight w:val="0"/>
                  <w:marTop w:val="0"/>
                  <w:marBottom w:val="0"/>
                  <w:divBdr>
                    <w:top w:val="none" w:sz="0" w:space="0" w:color="auto"/>
                    <w:left w:val="none" w:sz="0" w:space="0" w:color="auto"/>
                    <w:bottom w:val="none" w:sz="0" w:space="0" w:color="auto"/>
                    <w:right w:val="none" w:sz="0" w:space="0" w:color="auto"/>
                  </w:divBdr>
                </w:div>
                <w:div w:id="1410420993">
                  <w:marLeft w:val="0"/>
                  <w:marRight w:val="0"/>
                  <w:marTop w:val="0"/>
                  <w:marBottom w:val="0"/>
                  <w:divBdr>
                    <w:top w:val="none" w:sz="0" w:space="0" w:color="auto"/>
                    <w:left w:val="none" w:sz="0" w:space="0" w:color="auto"/>
                    <w:bottom w:val="none" w:sz="0" w:space="0" w:color="auto"/>
                    <w:right w:val="none" w:sz="0" w:space="0" w:color="auto"/>
                  </w:divBdr>
                  <w:divsChild>
                    <w:div w:id="72930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557707">
          <w:marLeft w:val="0"/>
          <w:marRight w:val="0"/>
          <w:marTop w:val="0"/>
          <w:marBottom w:val="0"/>
          <w:divBdr>
            <w:top w:val="none" w:sz="0" w:space="0" w:color="auto"/>
            <w:left w:val="none" w:sz="0" w:space="0" w:color="auto"/>
            <w:bottom w:val="none" w:sz="0" w:space="0" w:color="auto"/>
            <w:right w:val="none" w:sz="0" w:space="0" w:color="auto"/>
          </w:divBdr>
          <w:divsChild>
            <w:div w:id="23872414">
              <w:marLeft w:val="0"/>
              <w:marRight w:val="0"/>
              <w:marTop w:val="0"/>
              <w:marBottom w:val="0"/>
              <w:divBdr>
                <w:top w:val="none" w:sz="0" w:space="0" w:color="auto"/>
                <w:left w:val="none" w:sz="0" w:space="0" w:color="auto"/>
                <w:bottom w:val="none" w:sz="0" w:space="0" w:color="auto"/>
                <w:right w:val="none" w:sz="0" w:space="0" w:color="auto"/>
              </w:divBdr>
              <w:divsChild>
                <w:div w:id="60758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ad.oecd-ilibrary.org/finance-and-investment/panorama-des-pensions-2021-version-abregee_64a58111-fr" TargetMode="External"/><Relationship Id="rId13" Type="http://schemas.openxmlformats.org/officeDocument/2006/relationships/hyperlink" Target="https://www.cor-retraites.fr/sites/default/files/2022-02/Doc%207%20-%20%C3%A2ge%20%C3%A9tranger.pdf" TargetMode="External"/><Relationship Id="rId18" Type="http://schemas.openxmlformats.org/officeDocument/2006/relationships/hyperlink" Target="https://economy-finance.ec.europa.eu/system/files/2021-10/ip148_en.pdf" TargetMode="External"/><Relationship Id="rId3" Type="http://schemas.openxmlformats.org/officeDocument/2006/relationships/webSettings" Target="webSettings.xml"/><Relationship Id="rId7" Type="http://schemas.openxmlformats.org/officeDocument/2006/relationships/hyperlink" Target="https://www.lemonde.fr/economie/article/2023/02/15/epargne-retraite-la-capitalisation-s-installe-a-bas-bruit-dans-les-pratiques-des-francais_6161857_3234.html" TargetMode="External"/><Relationship Id="rId12" Type="http://schemas.openxmlformats.org/officeDocument/2006/relationships/hyperlink" Target="https://www.cor-retraites.fr/sites/default/files/2022-06/Rapport_international_2020_V3.pdf" TargetMode="External"/><Relationship Id="rId17" Type="http://schemas.openxmlformats.org/officeDocument/2006/relationships/hyperlink" Target="https://www.legifrance.gouv.fr/codes/article_lc/LEGIARTI000031781092/2016-01-01" TargetMode="External"/><Relationship Id="rId2" Type="http://schemas.openxmlformats.org/officeDocument/2006/relationships/settings" Target="settings.xml"/><Relationship Id="rId16" Type="http://schemas.openxmlformats.org/officeDocument/2006/relationships/hyperlink" Target="https://www.cor-retraites.fr/sites/default/files/2019-06/doc-74.pdf"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or-retraites.fr/sites/default/files/2022-06/Rapport_international_2020_V3.pdf" TargetMode="External"/><Relationship Id="rId11" Type="http://schemas.openxmlformats.org/officeDocument/2006/relationships/image" Target="media/image2.png"/><Relationship Id="rId5" Type="http://schemas.openxmlformats.org/officeDocument/2006/relationships/hyperlink" Target="https://www.bfmtv.com/politique/elysee/emmanuel-macron-la-reforme-des-retraites-est-indispensable-quand-on-se-compare-en-europe_VN-202301300688.html" TargetMode="External"/><Relationship Id="rId15" Type="http://schemas.openxmlformats.org/officeDocument/2006/relationships/image" Target="media/image3.png"/><Relationship Id="rId10" Type="http://schemas.openxmlformats.org/officeDocument/2006/relationships/hyperlink" Target="https://www.cor-retraites.fr/sites/default/files/2022-06/Rapport_international_2020_V3.pdf" TargetMode="External"/><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lejdd.fr/Politique/geoffroy-roux-de-bezieux-sur-la-reforme-des-retraites-on-ne-peut-plus-se-permettre-dattendre-4155096" TargetMode="External"/><Relationship Id="rId14" Type="http://schemas.openxmlformats.org/officeDocument/2006/relationships/hyperlink" Target="https://www.lemonde.fr/les-decodeurs/article/2023/02/02/reforme-des-retraites-quels-sont-les-mecanismes-de-calcul-de-votre-pension_6160237_4355770.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2228</Words>
  <Characters>12255</Characters>
  <Application>Microsoft Office Word</Application>
  <DocSecurity>0</DocSecurity>
  <Lines>102</Lines>
  <Paragraphs>28</Paragraphs>
  <ScaleCrop>false</ScaleCrop>
  <Company/>
  <LinksUpToDate>false</LinksUpToDate>
  <CharactersWithSpaces>14455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1</cp:revision>
  <dcterms:created xsi:type="dcterms:W3CDTF">2023-02-27T17:53:00Z</dcterms:created>
  <dcterms:modified xsi:type="dcterms:W3CDTF">2023-02-27T18:03:00Z</dcterms:modified>
</cp:coreProperties>
</file>