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1B775" w14:textId="77777777" w:rsidR="00493501" w:rsidRDefault="00493501" w:rsidP="00493501">
      <w:pPr>
        <w:pStyle w:val="yiv0664085382ydp3f314b22yiv6761014047msonormal"/>
        <w:spacing w:before="0" w:beforeAutospacing="0" w:after="0" w:afterAutospacing="0"/>
        <w:jc w:val="both"/>
        <w:rPr>
          <w:rFonts w:ascii="Calibri" w:hAnsi="Calibri" w:cs="Calibri"/>
          <w:sz w:val="22"/>
          <w:szCs w:val="22"/>
        </w:rPr>
      </w:pPr>
      <w:r>
        <w:rPr>
          <w:rFonts w:ascii="New serif" w:hAnsi="New serif" w:cs="Calibri"/>
          <w:b/>
          <w:bCs/>
          <w:sz w:val="48"/>
          <w:szCs w:val="48"/>
        </w:rPr>
        <w:t>« La charge contre les études sur le genre et le racisme menace la liberté académique »</w:t>
      </w:r>
    </w:p>
    <w:p w14:paraId="5D87DC38" w14:textId="77777777" w:rsidR="00493501" w:rsidRDefault="00493501" w:rsidP="00493501">
      <w:pPr>
        <w:pStyle w:val="yiv0664085382ydp3f314b22yiv6761014047msonormal"/>
        <w:spacing w:before="0" w:beforeAutospacing="0" w:after="0" w:afterAutospacing="0"/>
        <w:jc w:val="both"/>
        <w:rPr>
          <w:rFonts w:ascii="Calibri" w:hAnsi="Calibri" w:cs="Calibri"/>
          <w:sz w:val="22"/>
          <w:szCs w:val="22"/>
        </w:rPr>
      </w:pPr>
    </w:p>
    <w:p w14:paraId="40182C95"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Dans « Panique à l’université », son dernier livre, le politiste Francis Dupuis-</w:t>
      </w:r>
      <w:proofErr w:type="spellStart"/>
      <w:r>
        <w:rPr>
          <w:rFonts w:ascii="New serif" w:hAnsi="New serif" w:cs="Calibri"/>
        </w:rPr>
        <w:t>Déri</w:t>
      </w:r>
      <w:proofErr w:type="spellEnd"/>
      <w:r>
        <w:rPr>
          <w:rFonts w:ascii="New serif" w:hAnsi="New serif" w:cs="Calibri"/>
        </w:rPr>
        <w:t xml:space="preserve"> analyse les ressorts idéologiques de la critique du « </w:t>
      </w:r>
      <w:proofErr w:type="spellStart"/>
      <w:r>
        <w:rPr>
          <w:rFonts w:ascii="New serif" w:hAnsi="New serif" w:cs="Calibri"/>
        </w:rPr>
        <w:t>wokisme</w:t>
      </w:r>
      <w:proofErr w:type="spellEnd"/>
      <w:r>
        <w:rPr>
          <w:rFonts w:ascii="New serif" w:hAnsi="New serif" w:cs="Calibri"/>
        </w:rPr>
        <w:t xml:space="preserve"> » qui se répand massivement dans les médias, mais aussi chez une partie des intellectuels et des chefs d’Etat. Il explique son travail dans un entretien au « Monde ». </w:t>
      </w:r>
    </w:p>
    <w:p w14:paraId="7A731A9B"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Né à Montréal en 1966, Francis Dupuis-</w:t>
      </w:r>
      <w:proofErr w:type="spellStart"/>
      <w:r>
        <w:rPr>
          <w:rFonts w:ascii="New serif" w:hAnsi="New serif" w:cs="Calibri"/>
        </w:rPr>
        <w:t>Déri</w:t>
      </w:r>
      <w:proofErr w:type="spellEnd"/>
      <w:r>
        <w:rPr>
          <w:rFonts w:ascii="New serif" w:hAnsi="New serif" w:cs="Calibri"/>
        </w:rPr>
        <w:t xml:space="preserve"> est professeur en science politique et en études féministes à l’université du Québec, à Montréal (UQAM). De double nationalité, canadienne et française, spécialiste de l’antiféminisme et de l’anarchisme, il a notamment publié en 2018 </w:t>
      </w:r>
      <w:r>
        <w:rPr>
          <w:rFonts w:ascii="New serif" w:hAnsi="New serif" w:cs="Calibri"/>
          <w:i/>
          <w:iCs/>
        </w:rPr>
        <w:t>La Crise de la masculinité : autopsie d’un mythe tenace</w:t>
      </w:r>
      <w:r>
        <w:rPr>
          <w:rFonts w:ascii="New serif" w:hAnsi="New serif" w:cs="Calibri"/>
        </w:rPr>
        <w:t xml:space="preserve"> (</w:t>
      </w:r>
      <w:proofErr w:type="spellStart"/>
      <w:r>
        <w:rPr>
          <w:rFonts w:ascii="New serif" w:hAnsi="New serif" w:cs="Calibri"/>
        </w:rPr>
        <w:t>Remue-Menage</w:t>
      </w:r>
      <w:proofErr w:type="spellEnd"/>
      <w:r>
        <w:rPr>
          <w:rFonts w:ascii="New serif" w:hAnsi="New serif" w:cs="Calibri"/>
        </w:rPr>
        <w:t xml:space="preserve">). Il est l’auteur de </w:t>
      </w:r>
      <w:r>
        <w:rPr>
          <w:rFonts w:ascii="New serif" w:hAnsi="New serif" w:cs="Calibri"/>
          <w:i/>
          <w:iCs/>
        </w:rPr>
        <w:t xml:space="preserve">Panique à l’université. Rectitude politique, </w:t>
      </w:r>
      <w:proofErr w:type="spellStart"/>
      <w:r>
        <w:rPr>
          <w:rFonts w:ascii="New serif" w:hAnsi="New serif" w:cs="Calibri"/>
        </w:rPr>
        <w:t>wokes</w:t>
      </w:r>
      <w:proofErr w:type="spellEnd"/>
      <w:r>
        <w:rPr>
          <w:rFonts w:ascii="New serif" w:hAnsi="New serif" w:cs="Calibri"/>
        </w:rPr>
        <w:t xml:space="preserve"> </w:t>
      </w:r>
      <w:r>
        <w:rPr>
          <w:rFonts w:ascii="New serif" w:hAnsi="New serif" w:cs="Calibri"/>
          <w:i/>
          <w:iCs/>
        </w:rPr>
        <w:t>et autres menaces imaginaires</w:t>
      </w:r>
      <w:r>
        <w:rPr>
          <w:rFonts w:ascii="New serif" w:hAnsi="New serif" w:cs="Calibri"/>
        </w:rPr>
        <w:t>, paru en septembre 2022 aux éditions Lux.</w:t>
      </w:r>
    </w:p>
    <w:p w14:paraId="2CD09B47"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Qu’est-ce qu’une « panique morale », à l’image de celle qui semble gagner une partie de l’opinion à propos du « </w:t>
      </w:r>
      <w:proofErr w:type="spellStart"/>
      <w:r>
        <w:rPr>
          <w:rFonts w:ascii="New serif" w:hAnsi="New serif" w:cs="Calibri"/>
          <w:b/>
          <w:bCs/>
          <w:sz w:val="27"/>
          <w:szCs w:val="27"/>
        </w:rPr>
        <w:t>wokisme</w:t>
      </w:r>
      <w:proofErr w:type="spellEnd"/>
      <w:r>
        <w:rPr>
          <w:rFonts w:ascii="New serif" w:hAnsi="New serif" w:cs="Calibri"/>
          <w:b/>
          <w:bCs/>
          <w:sz w:val="27"/>
          <w:szCs w:val="27"/>
        </w:rPr>
        <w:t xml:space="preserve"> », du </w:t>
      </w:r>
      <w:proofErr w:type="spellStart"/>
      <w:r>
        <w:rPr>
          <w:rFonts w:ascii="New serif" w:hAnsi="New serif" w:cs="Calibri"/>
          <w:b/>
          <w:bCs/>
          <w:sz w:val="27"/>
          <w:szCs w:val="27"/>
        </w:rPr>
        <w:t>décolonialisme</w:t>
      </w:r>
      <w:proofErr w:type="spellEnd"/>
      <w:r>
        <w:rPr>
          <w:rFonts w:ascii="New serif" w:hAnsi="New serif" w:cs="Calibri"/>
          <w:b/>
          <w:bCs/>
          <w:sz w:val="27"/>
          <w:szCs w:val="27"/>
        </w:rPr>
        <w:t xml:space="preserve"> ou de l’intersectionnalité ?</w:t>
      </w:r>
    </w:p>
    <w:p w14:paraId="59E1CD15"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Selon le sociologue Stanley Cohen</w:t>
      </w:r>
      <w:r>
        <w:rPr>
          <w:rFonts w:ascii="New serif" w:hAnsi="New serif" w:cs="Calibri"/>
          <w:i/>
          <w:iCs/>
        </w:rPr>
        <w:t xml:space="preserve"> [1942-2013]</w:t>
      </w:r>
      <w:r>
        <w:rPr>
          <w:rFonts w:ascii="New serif" w:hAnsi="New serif" w:cs="Calibri"/>
        </w:rPr>
        <w:t>, les médias fabriquent une panique morale par une couverture sensationnaliste hors de proportion d’événements anecdotiques associés à une jeunesse contre-culturelle qu’on veut diaboliser. Aujourd’hui, ce sont les jeunes féministes et antiracistes qui ne respecteraient pas les bonnes mœurs universitaires, ou les spécialistes dans ces champs d’études. C’était déjà le cas aux Etats-Unis dans les années 1980, quand Ronald Reagan et les néoconservateurs étaient à la Maison Blanche et qu’on diabolisait les féministes et les antiracistes qui dominaient les campus, disait-on, et allaient détruire la civilisation occidentale.</w:t>
      </w:r>
    </w:p>
    <w:p w14:paraId="468573BF"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 xml:space="preserve">A l’époque, des passeurs, comme l’historien François Furet et l’essayiste Alain Finkielkraut, ont importé ces polémiques en France. Aujourd’hui, ce discours est porté par des polémistes, des universitaires et des politiques. Ce qui se passe réellement à l’université les intéresse peu, mais ils l’instrumentalisent pour décrédibiliser des mobilisations progressistes comme Black Lives </w:t>
      </w:r>
      <w:proofErr w:type="spellStart"/>
      <w:r>
        <w:rPr>
          <w:rFonts w:ascii="New serif" w:hAnsi="New serif" w:cs="Calibri"/>
        </w:rPr>
        <w:t>Matter</w:t>
      </w:r>
      <w:proofErr w:type="spellEnd"/>
      <w:r>
        <w:rPr>
          <w:rFonts w:ascii="New serif" w:hAnsi="New serif" w:cs="Calibri"/>
        </w:rPr>
        <w:t> et #metoo, et pour faire bouger les lignes entre partis, groupes médiatiques et jusque dans nos familles. Des étudiantes à l’UQAM n’osent plus dire qu’elles sont inscrites en études féministes lors de repas de famille, et le père de l’une d’elles ne veut plus la voir depuis qu’elle a choisi ce champ d’études.</w:t>
      </w:r>
    </w:p>
    <w:p w14:paraId="08B64D6B"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Mais quand on se compare, on se console, puisque des étudiantes nous disent quitter des universités françaises où il leur est trop pénible et risqué de poursuivre leurs études en cycles supérieurs sur le racisme et le colonialisme, pour s’inscrire dans des universités canadiennes où elles trouvent une plus grande liberté pour de tels sujets. La charge contre les études sur le genre et le racisme menace la liberté académique.</w:t>
      </w:r>
    </w:p>
    <w:p w14:paraId="54C4ABFB"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Pourquoi ce que l’on appelle le « </w:t>
      </w:r>
      <w:proofErr w:type="spellStart"/>
      <w:r>
        <w:rPr>
          <w:rFonts w:ascii="New serif" w:hAnsi="New serif" w:cs="Calibri"/>
          <w:b/>
          <w:bCs/>
          <w:sz w:val="27"/>
          <w:szCs w:val="27"/>
        </w:rPr>
        <w:t>wokisme</w:t>
      </w:r>
      <w:proofErr w:type="spellEnd"/>
      <w:r>
        <w:rPr>
          <w:rFonts w:ascii="New serif" w:hAnsi="New serif" w:cs="Calibri"/>
          <w:b/>
          <w:bCs/>
          <w:sz w:val="27"/>
          <w:szCs w:val="27"/>
        </w:rPr>
        <w:t> » suscite-t-il un tel vent de panique non seulement à l’université, mais aussi dans les médias et chez une partie des intellectuels comme des politiques ?</w:t>
      </w:r>
    </w:p>
    <w:p w14:paraId="1806992C"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On parle aujourd’hui de « </w:t>
      </w:r>
      <w:proofErr w:type="spellStart"/>
      <w:r>
        <w:rPr>
          <w:rFonts w:ascii="New serif" w:hAnsi="New serif" w:cs="Calibri"/>
        </w:rPr>
        <w:t>wokisme</w:t>
      </w:r>
      <w:proofErr w:type="spellEnd"/>
      <w:r>
        <w:rPr>
          <w:rFonts w:ascii="New serif" w:hAnsi="New serif" w:cs="Calibri"/>
        </w:rPr>
        <w:t> » après avoir parlé d</w:t>
      </w:r>
      <w:proofErr w:type="gramStart"/>
      <w:r>
        <w:rPr>
          <w:rFonts w:ascii="New serif" w:hAnsi="New serif" w:cs="Calibri"/>
        </w:rPr>
        <w:t>’«</w:t>
      </w:r>
      <w:proofErr w:type="gramEnd"/>
      <w:r>
        <w:rPr>
          <w:rFonts w:ascii="New serif" w:hAnsi="New serif" w:cs="Calibri"/>
        </w:rPr>
        <w:t> </w:t>
      </w:r>
      <w:proofErr w:type="spellStart"/>
      <w:r>
        <w:rPr>
          <w:rFonts w:ascii="New serif" w:hAnsi="New serif" w:cs="Calibri"/>
        </w:rPr>
        <w:t>islamo-gauchisme</w:t>
      </w:r>
      <w:proofErr w:type="spellEnd"/>
      <w:r>
        <w:rPr>
          <w:rFonts w:ascii="New serif" w:hAnsi="New serif" w:cs="Calibri"/>
        </w:rPr>
        <w:t xml:space="preserve"> », sans justifier ce changement de termes. Ce ne sont pas des concepts analytiques, mais des mots piégés interchangeables, des épouvantails maniés pour discréditer les féministes et les antiracistes et agiter l’opinion publique. En France, on choisit des mots anglais qui semblent plus effrayants que l’équivalent français. </w:t>
      </w:r>
      <w:r>
        <w:rPr>
          <w:rFonts w:ascii="New serif" w:hAnsi="New serif" w:cs="Calibri"/>
          <w:i/>
          <w:iCs/>
        </w:rPr>
        <w:t>« </w:t>
      </w:r>
      <w:proofErr w:type="spellStart"/>
      <w:r>
        <w:rPr>
          <w:rFonts w:ascii="New serif" w:hAnsi="New serif" w:cs="Calibri"/>
          <w:i/>
          <w:iCs/>
        </w:rPr>
        <w:t>Woke</w:t>
      </w:r>
      <w:proofErr w:type="spellEnd"/>
      <w:r>
        <w:rPr>
          <w:rFonts w:ascii="New serif" w:hAnsi="New serif" w:cs="Calibri"/>
          <w:i/>
          <w:iCs/>
        </w:rPr>
        <w:t> »</w:t>
      </w:r>
      <w:r>
        <w:rPr>
          <w:rFonts w:ascii="New serif" w:hAnsi="New serif" w:cs="Calibri"/>
        </w:rPr>
        <w:t xml:space="preserve"> veut simplement dire « éveillé », comme dans « éveil des consciences ». C’est banal, puisque tous les mouvements sociaux veulent éveiller les consciences à leur cause, y compris à droite, comme le collectif français Les Eveilleurs d’espérance, qui propose des entretiens avec Marion Maréchal et </w:t>
      </w:r>
      <w:proofErr w:type="spellStart"/>
      <w:r>
        <w:rPr>
          <w:rFonts w:ascii="New serif" w:hAnsi="New serif" w:cs="Calibri"/>
        </w:rPr>
        <w:t>Eric</w:t>
      </w:r>
      <w:proofErr w:type="spellEnd"/>
      <w:r>
        <w:rPr>
          <w:rFonts w:ascii="New serif" w:hAnsi="New serif" w:cs="Calibri"/>
        </w:rPr>
        <w:t xml:space="preserve"> Zemmour. Voilà donc des </w:t>
      </w:r>
      <w:proofErr w:type="spellStart"/>
      <w:r>
        <w:rPr>
          <w:rFonts w:ascii="New serif" w:hAnsi="New serif" w:cs="Calibri"/>
        </w:rPr>
        <w:t>wokes</w:t>
      </w:r>
      <w:proofErr w:type="spellEnd"/>
      <w:r>
        <w:rPr>
          <w:rFonts w:ascii="New serif" w:hAnsi="New serif" w:cs="Calibri"/>
        </w:rPr>
        <w:t> !</w:t>
      </w:r>
    </w:p>
    <w:p w14:paraId="502EF06B" w14:textId="77777777" w:rsidR="00493501" w:rsidRDefault="00493501" w:rsidP="00493501">
      <w:pPr>
        <w:pStyle w:val="yiv0664085382ydp3f314b22yiv6761014047msonormal"/>
        <w:spacing w:before="0" w:beforeAutospacing="0" w:after="0" w:afterAutospacing="0"/>
        <w:jc w:val="both"/>
        <w:rPr>
          <w:rFonts w:ascii="Calibri" w:hAnsi="Calibri" w:cs="Calibri"/>
          <w:sz w:val="22"/>
          <w:szCs w:val="22"/>
        </w:rPr>
      </w:pPr>
      <w:r>
        <w:rPr>
          <w:rFonts w:ascii="New serif" w:hAnsi="New serif" w:cs="Calibri"/>
        </w:rPr>
        <w:t xml:space="preserve">Lire aussi Article réservé à nos abonnés </w:t>
      </w:r>
      <w:hyperlink r:id="rId4" w:tgtFrame="_blank" w:history="1">
        <w:r>
          <w:rPr>
            <w:rStyle w:val="Lienhypertexte"/>
            <w:rFonts w:ascii="New serif" w:hAnsi="New serif" w:cs="Calibri"/>
          </w:rPr>
          <w:t>Derrière le débat sur le « </w:t>
        </w:r>
        <w:proofErr w:type="spellStart"/>
        <w:r>
          <w:rPr>
            <w:rStyle w:val="Lienhypertexte"/>
            <w:rFonts w:ascii="New serif" w:hAnsi="New serif" w:cs="Calibri"/>
          </w:rPr>
          <w:t>wokisme</w:t>
        </w:r>
        <w:proofErr w:type="spellEnd"/>
        <w:r>
          <w:rPr>
            <w:rStyle w:val="Lienhypertexte"/>
            <w:rFonts w:ascii="New serif" w:hAnsi="New serif" w:cs="Calibri"/>
          </w:rPr>
          <w:t> », les trois mutations du racisme : biologique, culturel, systémique</w:t>
        </w:r>
      </w:hyperlink>
      <w:r>
        <w:rPr>
          <w:rFonts w:ascii="New serif" w:hAnsi="New serif" w:cs="Calibri"/>
        </w:rPr>
        <w:t xml:space="preserve"> </w:t>
      </w:r>
    </w:p>
    <w:p w14:paraId="33CA24FE"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Nouveau « totalitarisme », nouvelle « religion », nouvelle forme de « puritanisme », processus d</w:t>
      </w:r>
      <w:proofErr w:type="gramStart"/>
      <w:r>
        <w:rPr>
          <w:rFonts w:ascii="New serif" w:hAnsi="New serif" w:cs="Calibri"/>
          <w:b/>
          <w:bCs/>
          <w:sz w:val="27"/>
          <w:szCs w:val="27"/>
        </w:rPr>
        <w:t>’«</w:t>
      </w:r>
      <w:proofErr w:type="gramEnd"/>
      <w:r>
        <w:rPr>
          <w:rFonts w:ascii="New serif" w:hAnsi="New serif" w:cs="Calibri"/>
          <w:b/>
          <w:bCs/>
          <w:sz w:val="27"/>
          <w:szCs w:val="27"/>
        </w:rPr>
        <w:t> américanisation » : de quoi ces accusations sont-elles le signe ?</w:t>
      </w:r>
    </w:p>
    <w:p w14:paraId="6CFA023B"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lastRenderedPageBreak/>
        <w:t>Faire référence à l’</w:t>
      </w:r>
      <w:r>
        <w:rPr>
          <w:rFonts w:ascii="New serif" w:hAnsi="New serif" w:cs="Calibri"/>
          <w:i/>
          <w:iCs/>
        </w:rPr>
        <w:t>« américanisation »</w:t>
      </w:r>
      <w:r>
        <w:rPr>
          <w:rFonts w:ascii="New serif" w:hAnsi="New serif" w:cs="Calibri"/>
        </w:rPr>
        <w:t xml:space="preserve"> est un vieux truc en France pour y faire mousser le sentiment de supériorité civilisationnelle, mais ça n’explique souvent rien du tout, pas plus que </w:t>
      </w:r>
      <w:hyperlink r:id="rId5" w:tgtFrame="_blank" w:history="1">
        <w:r>
          <w:rPr>
            <w:rStyle w:val="Lienhypertexte"/>
            <w:rFonts w:ascii="New serif" w:hAnsi="New serif" w:cs="Calibri"/>
          </w:rPr>
          <w:t>les références à la « religion »</w:t>
        </w:r>
      </w:hyperlink>
      <w:r>
        <w:rPr>
          <w:rFonts w:ascii="New serif" w:hAnsi="New serif" w:cs="Calibri"/>
        </w:rPr>
        <w:t xml:space="preserve"> et au « puritanisme », autant de clichés au sujet des Etats-Unis repris pour décrédibiliser les féministes et les antiracistes. La critique du sexisme existe en France depuis au moins le XVII</w:t>
      </w:r>
      <w:r>
        <w:rPr>
          <w:rFonts w:ascii="New serif" w:hAnsi="New serif" w:cs="Calibri"/>
          <w:vertAlign w:val="superscript"/>
        </w:rPr>
        <w:t>e</w:t>
      </w:r>
      <w:r>
        <w:rPr>
          <w:rFonts w:ascii="New serif" w:hAnsi="New serif" w:cs="Calibri"/>
        </w:rPr>
        <w:t> siècle et n’a rien de spécifiquement religieux, tout comme la critique du racisme. Qualifier de « puritaines » des femmes qui dénoncent des agressions sexuelles, un problème endémique, est pathétique.</w:t>
      </w:r>
    </w:p>
    <w:p w14:paraId="4E348918"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Tout aussi ridicules sont les références aux pires violences de masse pour disqualifier les féministes et les antiracistes qui n’ont recours qu’à des tactiques non violentes, outre quelques statues vandalisées, et qui ne tuent personne. Je m’étonne que des médias respectés en France acceptent qu’on les associe aux camps de rééducation maoïstes et à la Terreur. On insulte la mémoire de milliers ou de millions de morts, on manipule l’histoire des révolutions française ou chinoise, et on ment au sujet de notre contexte actuel, mais tout en accusant les spécialistes du genre ou du racisme de manquer de rigueur !</w:t>
      </w:r>
    </w:p>
    <w:p w14:paraId="507C3AB4"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Le « </w:t>
      </w:r>
      <w:proofErr w:type="spellStart"/>
      <w:r>
        <w:rPr>
          <w:rFonts w:ascii="New serif" w:hAnsi="New serif" w:cs="Calibri"/>
          <w:b/>
          <w:bCs/>
          <w:sz w:val="27"/>
          <w:szCs w:val="27"/>
        </w:rPr>
        <w:t>wokisme</w:t>
      </w:r>
      <w:proofErr w:type="spellEnd"/>
      <w:r>
        <w:rPr>
          <w:rFonts w:ascii="New serif" w:hAnsi="New serif" w:cs="Calibri"/>
          <w:b/>
          <w:bCs/>
          <w:sz w:val="27"/>
          <w:szCs w:val="27"/>
        </w:rPr>
        <w:t> »</w:t>
      </w:r>
      <w:r>
        <w:rPr>
          <w:rFonts w:ascii="New serif" w:hAnsi="New serif" w:cs="Calibri"/>
          <w:b/>
          <w:bCs/>
          <w:i/>
          <w:iCs/>
          <w:sz w:val="27"/>
          <w:szCs w:val="27"/>
        </w:rPr>
        <w:t>, c</w:t>
      </w:r>
      <w:r>
        <w:rPr>
          <w:rFonts w:ascii="New serif" w:hAnsi="New serif" w:cs="Calibri"/>
          <w:b/>
          <w:bCs/>
          <w:sz w:val="27"/>
          <w:szCs w:val="27"/>
        </w:rPr>
        <w:t>ombien de divisions ? Quelle est l’importance des études de genre et sur le racisme à l’université, en France et aux Etats-Unis ?</w:t>
      </w:r>
    </w:p>
    <w:p w14:paraId="48E4F530"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Aujourd’hui, il n’y a que quelques centaines de programmes sur le genre ou le racisme aux Etats-Unis, où on compte 4 500 établissements universitaires (plus de dix fois plus qu’en France). C’est bien peu en comparaison des centaines d’établissements entièrement consacrés à la finance et au commerce et des 1 700 programmes de MBA, sans oublier les académies militaires et les 200 universités chrétiennes. En France aussi, il y a bien plus d’écoles militaires et de </w:t>
      </w:r>
      <w:r>
        <w:rPr>
          <w:rFonts w:ascii="New serif" w:hAnsi="New serif" w:cs="Calibri"/>
          <w:i/>
          <w:iCs/>
        </w:rPr>
        <w:t xml:space="preserve">business </w:t>
      </w:r>
      <w:proofErr w:type="spellStart"/>
      <w:r>
        <w:rPr>
          <w:rFonts w:ascii="New serif" w:hAnsi="New serif" w:cs="Calibri"/>
          <w:i/>
          <w:iCs/>
        </w:rPr>
        <w:t>schools</w:t>
      </w:r>
      <w:proofErr w:type="spellEnd"/>
      <w:r>
        <w:rPr>
          <w:rFonts w:ascii="New serif" w:hAnsi="New serif" w:cs="Calibri"/>
        </w:rPr>
        <w:t xml:space="preserve"> que de programmes sur le genre. Ces derniers se développent lentement et représentent un élargissement de la liberté académique dans l’enseignement et la recherche dont on doit se réjouir.</w:t>
      </w:r>
    </w:p>
    <w:p w14:paraId="129F1E90"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N’y a-t-il pas cependant des dérives dans ces mouvements ?</w:t>
      </w:r>
    </w:p>
    <w:p w14:paraId="7D6431E8"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L’université d’origine européenne a connu des conflits et des grèves étudiantes dès sa fondation, au XIII</w:t>
      </w:r>
      <w:r>
        <w:rPr>
          <w:rFonts w:ascii="New serif" w:hAnsi="New serif" w:cs="Calibri"/>
          <w:vertAlign w:val="superscript"/>
        </w:rPr>
        <w:t>e</w:t>
      </w:r>
      <w:r>
        <w:rPr>
          <w:rFonts w:ascii="New serif" w:hAnsi="New serif" w:cs="Calibri"/>
        </w:rPr>
        <w:t> siècle. Les objets du conflit changent selon le contexte, mais des jeunes ont toujours contesté, et c’est parfois difficile à gérer en tant que professeur. Mais d’autres problèmes plus graves contraignent l’enseignement et la recherche universitaires : rareté des postes de professeur et manque de personnel de soutien, classes surchargées, tâches administratives, concurrence malsaine pour les subventions de recherche, format de plus en plus standardisé pour la publication dans les revues savantes, prime à la publication en anglais, rivalités mesquines entre collègues, ingérence du privé, harcèlements et agressions sexuelles, etc.</w:t>
      </w:r>
    </w:p>
    <w:p w14:paraId="07DB88F2" w14:textId="77777777" w:rsidR="00493501" w:rsidRDefault="00493501" w:rsidP="00493501">
      <w:pPr>
        <w:pStyle w:val="yiv0664085382ydp3f314b22yiv6761014047msonormal"/>
        <w:spacing w:before="0" w:beforeAutospacing="0" w:after="0" w:afterAutospacing="0"/>
        <w:jc w:val="both"/>
        <w:rPr>
          <w:rFonts w:ascii="Calibri" w:hAnsi="Calibri" w:cs="Calibri"/>
          <w:sz w:val="22"/>
          <w:szCs w:val="22"/>
        </w:rPr>
      </w:pPr>
      <w:r>
        <w:rPr>
          <w:rFonts w:ascii="New serif" w:hAnsi="New serif" w:cs="Calibri"/>
        </w:rPr>
        <w:t xml:space="preserve">Lire aussi : Article réservé à nos abonnés </w:t>
      </w:r>
      <w:hyperlink r:id="rId6" w:tgtFrame="_blank" w:history="1">
        <w:r>
          <w:rPr>
            <w:rStyle w:val="Lienhypertexte"/>
            <w:rFonts w:ascii="New serif" w:hAnsi="New serif" w:cs="Calibri"/>
          </w:rPr>
          <w:t xml:space="preserve">« Les militants </w:t>
        </w:r>
        <w:proofErr w:type="spellStart"/>
        <w:r>
          <w:rPr>
            <w:rStyle w:val="Lienhypertexte"/>
            <w:rFonts w:ascii="New serif" w:hAnsi="New serif" w:cs="Calibri"/>
          </w:rPr>
          <w:t>woke</w:t>
        </w:r>
        <w:proofErr w:type="spellEnd"/>
        <w:r>
          <w:rPr>
            <w:rStyle w:val="Lienhypertexte"/>
            <w:rFonts w:ascii="New serif" w:hAnsi="New serif" w:cs="Calibri"/>
          </w:rPr>
          <w:t xml:space="preserve"> s’inscrivent dans une histoire longue de mobilisation politique de la jeunesse »</w:t>
        </w:r>
      </w:hyperlink>
      <w:r>
        <w:rPr>
          <w:rFonts w:ascii="New serif" w:hAnsi="New serif" w:cs="Calibri"/>
        </w:rPr>
        <w:t xml:space="preserve"> </w:t>
      </w:r>
    </w:p>
    <w:p w14:paraId="0C21628A"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Et puis, il faut rappeler qu’il y a des forces réactionnaires qui s’agitent sur les campus. Aux Etats-Unis, des associations étudiantes disposent de millions de dollars pour s’opposer à l’avortement (</w:t>
      </w:r>
      <w:proofErr w:type="spellStart"/>
      <w:r>
        <w:rPr>
          <w:rFonts w:ascii="New serif" w:hAnsi="New serif" w:cs="Calibri"/>
        </w:rPr>
        <w:t>Students</w:t>
      </w:r>
      <w:proofErr w:type="spellEnd"/>
      <w:r>
        <w:rPr>
          <w:rFonts w:ascii="New serif" w:hAnsi="New serif" w:cs="Calibri"/>
        </w:rPr>
        <w:t xml:space="preserve"> for Life) ou soutenir Trump (</w:t>
      </w:r>
      <w:proofErr w:type="spellStart"/>
      <w:r>
        <w:rPr>
          <w:rFonts w:ascii="New serif" w:hAnsi="New serif" w:cs="Calibri"/>
        </w:rPr>
        <w:t>Students</w:t>
      </w:r>
      <w:proofErr w:type="spellEnd"/>
      <w:r>
        <w:rPr>
          <w:rFonts w:ascii="New serif" w:hAnsi="New serif" w:cs="Calibri"/>
        </w:rPr>
        <w:t xml:space="preserve"> for Trump), et des collègues sont mis à pied pour avoir soutenu Black Lives </w:t>
      </w:r>
      <w:proofErr w:type="spellStart"/>
      <w:r>
        <w:rPr>
          <w:rFonts w:ascii="New serif" w:hAnsi="New serif" w:cs="Calibri"/>
        </w:rPr>
        <w:t>Matter</w:t>
      </w:r>
      <w:proofErr w:type="spellEnd"/>
      <w:r>
        <w:rPr>
          <w:rFonts w:ascii="New serif" w:hAnsi="New serif" w:cs="Calibri"/>
        </w:rPr>
        <w:t xml:space="preserve"> ou les antifascistes. En France, des collègues se savent surveillées par des étudiants d’extrême droite, dont certains font le buzz dans les médias en rapportant qu’une professeure a expliqué le féminisme islamique ou le profilage racial. Quel manque de curiosité intellectuelle… Quant à moi, un antiféministe actif sur le Web m’a ciblé, avec d’autres collègues en études féministes à l’UQAM, dans des publications qui encourageaient à imiter </w:t>
      </w:r>
      <w:hyperlink r:id="rId7" w:tgtFrame="_blank" w:history="1">
        <w:r>
          <w:rPr>
            <w:rStyle w:val="Lienhypertexte"/>
            <w:rFonts w:ascii="New serif" w:hAnsi="New serif" w:cs="Calibri"/>
          </w:rPr>
          <w:t>l’homme ayant abattu 14 femmes à l’Ecole polytechnique de Montréal, en 1989</w:t>
        </w:r>
      </w:hyperlink>
      <w:r>
        <w:rPr>
          <w:rFonts w:ascii="New serif" w:hAnsi="New serif" w:cs="Calibri"/>
        </w:rPr>
        <w:t xml:space="preserve">, présentant même ce tueur comme un héros. Tout cela est évacué par les polémiques unidimensionnelles sur la prétendue « menace </w:t>
      </w:r>
      <w:proofErr w:type="spellStart"/>
      <w:r>
        <w:rPr>
          <w:rFonts w:ascii="New serif" w:hAnsi="New serif" w:cs="Calibri"/>
        </w:rPr>
        <w:t>woke</w:t>
      </w:r>
      <w:proofErr w:type="spellEnd"/>
      <w:r>
        <w:rPr>
          <w:rFonts w:ascii="New serif" w:hAnsi="New serif" w:cs="Calibri"/>
        </w:rPr>
        <w:t> ».</w:t>
      </w:r>
    </w:p>
    <w:p w14:paraId="77CE0B91"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 xml:space="preserve">Il est assez courant de reprocher aux </w:t>
      </w:r>
      <w:proofErr w:type="spellStart"/>
      <w:r>
        <w:rPr>
          <w:rFonts w:ascii="New serif" w:hAnsi="New serif" w:cs="Calibri"/>
          <w:b/>
          <w:bCs/>
          <w:sz w:val="27"/>
          <w:szCs w:val="27"/>
        </w:rPr>
        <w:t>néoféministes</w:t>
      </w:r>
      <w:proofErr w:type="spellEnd"/>
      <w:r>
        <w:rPr>
          <w:rFonts w:ascii="New serif" w:hAnsi="New serif" w:cs="Calibri"/>
          <w:b/>
          <w:bCs/>
          <w:sz w:val="27"/>
          <w:szCs w:val="27"/>
        </w:rPr>
        <w:t xml:space="preserve"> de défendre les femmes voilées en Occident et de minorer la lutte que les femmes iraniennes mènent pour se dévoiler. Comprenez-vous cette critique ?</w:t>
      </w:r>
    </w:p>
    <w:p w14:paraId="369EA5CC"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Le contexte en Iran et en France n’est évidemment pas du tout le même, mais la France est assurément obsédée par les femmes voilées depuis les années 1980, et même avant. On pourrait alors comprendre que les féministes avancent prudemment sur ce sujet. Or en consultant les médias sociaux de personnalités et de groupes féministes, je constate surtout qu’</w:t>
      </w:r>
      <w:hyperlink r:id="rId8" w:tgtFrame="_blank" w:history="1">
        <w:r>
          <w:rPr>
            <w:rStyle w:val="Lienhypertexte"/>
            <w:rFonts w:ascii="New serif" w:hAnsi="New serif" w:cs="Calibri"/>
          </w:rPr>
          <w:t xml:space="preserve">elles dénoncent la mort de </w:t>
        </w:r>
        <w:proofErr w:type="spellStart"/>
        <w:r>
          <w:rPr>
            <w:rStyle w:val="Lienhypertexte"/>
            <w:rFonts w:ascii="New serif" w:hAnsi="New serif" w:cs="Calibri"/>
          </w:rPr>
          <w:t>Mahsa</w:t>
        </w:r>
        <w:proofErr w:type="spellEnd"/>
        <w:r>
          <w:rPr>
            <w:rStyle w:val="Lienhypertexte"/>
            <w:rFonts w:ascii="New serif" w:hAnsi="New serif" w:cs="Calibri"/>
          </w:rPr>
          <w:t xml:space="preserve"> </w:t>
        </w:r>
        <w:proofErr w:type="spellStart"/>
        <w:r>
          <w:rPr>
            <w:rStyle w:val="Lienhypertexte"/>
            <w:rFonts w:ascii="New serif" w:hAnsi="New serif" w:cs="Calibri"/>
          </w:rPr>
          <w:t>Amini</w:t>
        </w:r>
        <w:proofErr w:type="spellEnd"/>
        <w:r>
          <w:rPr>
            <w:rStyle w:val="Lienhypertexte"/>
            <w:rFonts w:ascii="New serif" w:hAnsi="New serif" w:cs="Calibri"/>
          </w:rPr>
          <w:t xml:space="preserve"> </w:t>
        </w:r>
        <w:r>
          <w:rPr>
            <w:rStyle w:val="Lienhypertexte"/>
            <w:rFonts w:ascii="New serif" w:hAnsi="New serif" w:cs="Calibri"/>
          </w:rPr>
          <w:lastRenderedPageBreak/>
          <w:t>et appuient la contestation en Iran</w:t>
        </w:r>
      </w:hyperlink>
      <w:r>
        <w:rPr>
          <w:rFonts w:ascii="New serif" w:hAnsi="New serif" w:cs="Calibri"/>
        </w:rPr>
        <w:t>. C’est même le cas du groupe Solidarité femmes de Guadeloupe. Je retiens pour ma part de l’héritage des Lumières, de la modernité et du XX</w:t>
      </w:r>
      <w:r>
        <w:rPr>
          <w:rFonts w:ascii="New serif" w:hAnsi="New serif" w:cs="Calibri"/>
          <w:vertAlign w:val="superscript"/>
        </w:rPr>
        <w:t>e</w:t>
      </w:r>
      <w:r>
        <w:rPr>
          <w:rFonts w:ascii="New serif" w:hAnsi="New serif" w:cs="Calibri"/>
        </w:rPr>
        <w:t> siècle l’importance de dénoncer les régimes théocratiques, comme en Iran, mais aussi de tolérer et de protéger les minorités religieuses face au pouvoir de l’Etat et de la majorité, comme en France et au Canada.</w:t>
      </w:r>
    </w:p>
    <w:p w14:paraId="7F4B6124"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b/>
          <w:bCs/>
          <w:sz w:val="27"/>
          <w:szCs w:val="27"/>
        </w:rPr>
        <w:t>Ces nouvelles sciences sociales qui suscitent tant de réactions sont-elles mieux connues qu’auparavant ?</w:t>
      </w:r>
    </w:p>
    <w:p w14:paraId="09DAA0B6"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Si on compare la situation d’aujourd’hui à celle d’il y a vingt ou trente ans, on peut se réjouir de voir tant de ressources sur le Web, d’interventions dans les médias et de livres sur le genre et sur le racisme. Il s’agit d’un élargissement de la liberté d’expression et de la liberté universitaire et c’est une excellente nouvelle pour la société en général, même si cela semble provoquer des cauchemars chez les conservateurs et les réactionnaires.</w:t>
      </w:r>
    </w:p>
    <w:p w14:paraId="235418B2" w14:textId="77777777" w:rsidR="00493501" w:rsidRDefault="00493501" w:rsidP="00493501">
      <w:pPr>
        <w:pStyle w:val="yiv0664085382ydp3f314b22yiv6761014047msonormal"/>
        <w:spacing w:before="0" w:beforeAutospacing="0" w:after="0" w:afterAutospacing="0"/>
        <w:jc w:val="both"/>
        <w:rPr>
          <w:rFonts w:ascii="Calibri" w:hAnsi="Calibri" w:cs="Calibri"/>
          <w:sz w:val="22"/>
          <w:szCs w:val="22"/>
        </w:rPr>
      </w:pPr>
      <w:r>
        <w:rPr>
          <w:rFonts w:ascii="New serif" w:hAnsi="New serif" w:cs="Calibri"/>
        </w:rPr>
        <w:t>« Panique à l’université » : Francis Dupuis-</w:t>
      </w:r>
      <w:proofErr w:type="spellStart"/>
      <w:r>
        <w:rPr>
          <w:rFonts w:ascii="New serif" w:hAnsi="New serif" w:cs="Calibri"/>
        </w:rPr>
        <w:t>Déri</w:t>
      </w:r>
      <w:proofErr w:type="spellEnd"/>
      <w:r>
        <w:rPr>
          <w:rFonts w:ascii="New serif" w:hAnsi="New serif" w:cs="Calibri"/>
        </w:rPr>
        <w:t xml:space="preserve"> déconstruit la critique réactionnaire du </w:t>
      </w:r>
      <w:proofErr w:type="spellStart"/>
      <w:r>
        <w:rPr>
          <w:rFonts w:ascii="New serif" w:hAnsi="New serif" w:cs="Calibri"/>
        </w:rPr>
        <w:t>wokisme</w:t>
      </w:r>
      <w:proofErr w:type="spellEnd"/>
    </w:p>
    <w:p w14:paraId="6C442F71"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C’est une véritable obsession. Une focalisation qui fracture parfois les familles, divise les amis, les collègues et les générations. Une polarisation qui s’affiche à la « une » de nombreux hebdomadaires, se commente en boucle dans des émissions de radio et sur une grande partie des plateaux de télévision des chaînes d’info. Le</w:t>
      </w:r>
      <w:r>
        <w:rPr>
          <w:rFonts w:ascii="New serif" w:hAnsi="New serif" w:cs="Calibri"/>
          <w:i/>
          <w:iCs/>
        </w:rPr>
        <w:t xml:space="preserve"> </w:t>
      </w:r>
      <w:proofErr w:type="spellStart"/>
      <w:r>
        <w:rPr>
          <w:rFonts w:ascii="New serif" w:hAnsi="New serif" w:cs="Calibri"/>
        </w:rPr>
        <w:t>wokisme</w:t>
      </w:r>
      <w:proofErr w:type="spellEnd"/>
      <w:r>
        <w:rPr>
          <w:rFonts w:ascii="New serif" w:hAnsi="New serif" w:cs="Calibri"/>
        </w:rPr>
        <w:t xml:space="preserve"> et tout ce que ce mot charrie avec lui ne cessent d’être la cible d’un large discrédit. C’est le constat que dresse le politiste Francis Dupuis-</w:t>
      </w:r>
      <w:proofErr w:type="spellStart"/>
      <w:r>
        <w:rPr>
          <w:rFonts w:ascii="New serif" w:hAnsi="New serif" w:cs="Calibri"/>
        </w:rPr>
        <w:t>Déri</w:t>
      </w:r>
      <w:proofErr w:type="spellEnd"/>
      <w:r>
        <w:rPr>
          <w:rFonts w:ascii="New serif" w:hAnsi="New serif" w:cs="Calibri"/>
        </w:rPr>
        <w:t xml:space="preserve"> dans une analyse combative et engagée de cette </w:t>
      </w:r>
      <w:r>
        <w:rPr>
          <w:rFonts w:ascii="New serif" w:hAnsi="New serif" w:cs="Calibri"/>
          <w:i/>
          <w:iCs/>
        </w:rPr>
        <w:t>« panique morale »</w:t>
      </w:r>
      <w:r>
        <w:rPr>
          <w:rFonts w:ascii="New serif" w:hAnsi="New serif" w:cs="Calibri"/>
        </w:rPr>
        <w:t xml:space="preserve"> qui déborde du cadre de l’université, des imprécations de Trump aux discours de Poutine.</w:t>
      </w:r>
    </w:p>
    <w:p w14:paraId="0EDCE688"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 </w:t>
      </w:r>
      <w:proofErr w:type="spellStart"/>
      <w:r>
        <w:rPr>
          <w:rFonts w:ascii="New serif" w:hAnsi="New serif" w:cs="Calibri"/>
        </w:rPr>
        <w:t>Néoféminisme</w:t>
      </w:r>
      <w:proofErr w:type="spellEnd"/>
      <w:r>
        <w:rPr>
          <w:rFonts w:ascii="New serif" w:hAnsi="New serif" w:cs="Calibri"/>
        </w:rPr>
        <w:t> »,</w:t>
      </w:r>
      <w:r>
        <w:rPr>
          <w:rFonts w:ascii="New serif" w:hAnsi="New serif" w:cs="Calibri"/>
          <w:i/>
          <w:iCs/>
        </w:rPr>
        <w:t xml:space="preserve"> </w:t>
      </w:r>
      <w:r>
        <w:rPr>
          <w:rFonts w:ascii="New serif" w:hAnsi="New serif" w:cs="Calibri"/>
        </w:rPr>
        <w:t>«</w:t>
      </w:r>
      <w:r>
        <w:rPr>
          <w:rFonts w:ascii="New serif" w:hAnsi="New serif" w:cs="Calibri"/>
          <w:i/>
          <w:iCs/>
        </w:rPr>
        <w:t> </w:t>
      </w:r>
      <w:proofErr w:type="spellStart"/>
      <w:r>
        <w:rPr>
          <w:rFonts w:ascii="New serif" w:hAnsi="New serif" w:cs="Calibri"/>
          <w:i/>
          <w:iCs/>
        </w:rPr>
        <w:t>gender</w:t>
      </w:r>
      <w:proofErr w:type="spellEnd"/>
      <w:r>
        <w:rPr>
          <w:rFonts w:ascii="New serif" w:hAnsi="New serif" w:cs="Calibri"/>
          <w:i/>
          <w:iCs/>
        </w:rPr>
        <w:t> </w:t>
      </w:r>
      <w:proofErr w:type="spellStart"/>
      <w:r>
        <w:rPr>
          <w:rFonts w:ascii="New serif" w:hAnsi="New serif" w:cs="Calibri"/>
          <w:i/>
          <w:iCs/>
        </w:rPr>
        <w:t>studies</w:t>
      </w:r>
      <w:proofErr w:type="spellEnd"/>
      <w:r>
        <w:rPr>
          <w:rFonts w:ascii="New serif" w:hAnsi="New serif" w:cs="Calibri"/>
          <w:i/>
          <w:iCs/>
        </w:rPr>
        <w:t> </w:t>
      </w:r>
      <w:r>
        <w:rPr>
          <w:rFonts w:ascii="New serif" w:hAnsi="New serif" w:cs="Calibri"/>
        </w:rPr>
        <w:t>»,</w:t>
      </w:r>
      <w:r>
        <w:rPr>
          <w:rFonts w:ascii="New serif" w:hAnsi="New serif" w:cs="Calibri"/>
          <w:i/>
          <w:iCs/>
        </w:rPr>
        <w:t xml:space="preserve"> </w:t>
      </w:r>
      <w:r>
        <w:rPr>
          <w:rFonts w:ascii="New serif" w:hAnsi="New serif" w:cs="Calibri"/>
        </w:rPr>
        <w:t xml:space="preserve">« études </w:t>
      </w:r>
      <w:proofErr w:type="spellStart"/>
      <w:r>
        <w:rPr>
          <w:rFonts w:ascii="New serif" w:hAnsi="New serif" w:cs="Calibri"/>
        </w:rPr>
        <w:t>décoloniales</w:t>
      </w:r>
      <w:proofErr w:type="spellEnd"/>
      <w:r>
        <w:rPr>
          <w:rFonts w:ascii="New serif" w:hAnsi="New serif" w:cs="Calibri"/>
        </w:rPr>
        <w:t> »,</w:t>
      </w:r>
      <w:r>
        <w:rPr>
          <w:rFonts w:ascii="New serif" w:hAnsi="New serif" w:cs="Calibri"/>
          <w:i/>
          <w:iCs/>
        </w:rPr>
        <w:t xml:space="preserve"> </w:t>
      </w:r>
      <w:r>
        <w:rPr>
          <w:rFonts w:ascii="New serif" w:hAnsi="New serif" w:cs="Calibri"/>
        </w:rPr>
        <w:t>« intersectionnalité »</w:t>
      </w:r>
      <w:r>
        <w:rPr>
          <w:rFonts w:ascii="New serif" w:hAnsi="New serif" w:cs="Calibri"/>
          <w:i/>
          <w:iCs/>
        </w:rPr>
        <w:t xml:space="preserve"> </w:t>
      </w:r>
      <w:r>
        <w:rPr>
          <w:rFonts w:ascii="New serif" w:hAnsi="New serif" w:cs="Calibri"/>
        </w:rPr>
        <w:t>ou «</w:t>
      </w:r>
      <w:r>
        <w:rPr>
          <w:rFonts w:ascii="New serif" w:hAnsi="New serif" w:cs="Calibri"/>
          <w:i/>
          <w:iCs/>
        </w:rPr>
        <w:t> cancel culture</w:t>
      </w:r>
      <w:r>
        <w:rPr>
          <w:rFonts w:ascii="New serif" w:hAnsi="New serif" w:cs="Calibri"/>
        </w:rPr>
        <w:t> »</w:t>
      </w:r>
      <w:r>
        <w:rPr>
          <w:rFonts w:ascii="New serif" w:hAnsi="New serif" w:cs="Calibri"/>
          <w:i/>
          <w:iCs/>
        </w:rPr>
        <w:t> </w:t>
      </w:r>
      <w:r>
        <w:rPr>
          <w:rFonts w:ascii="New serif" w:hAnsi="New serif" w:cs="Calibri"/>
        </w:rPr>
        <w:t>: les mots changent mais les idées restent. Dans les années 1980, c’est le « politiquement correct »</w:t>
      </w:r>
      <w:r>
        <w:rPr>
          <w:rFonts w:ascii="New serif" w:hAnsi="New serif" w:cs="Calibri"/>
          <w:i/>
          <w:iCs/>
        </w:rPr>
        <w:t xml:space="preserve"> </w:t>
      </w:r>
      <w:r>
        <w:rPr>
          <w:rFonts w:ascii="New serif" w:hAnsi="New serif" w:cs="Calibri"/>
        </w:rPr>
        <w:t xml:space="preserve">qui était jugé coupable de rompre avec l’universalisme républicain et même la civilisation occidentale. Sans doute </w:t>
      </w:r>
      <w:r>
        <w:rPr>
          <w:rFonts w:ascii="New serif" w:hAnsi="New serif" w:cs="Calibri"/>
          <w:i/>
          <w:iCs/>
        </w:rPr>
        <w:t>L’Ame désarmée</w:t>
      </w:r>
      <w:r>
        <w:rPr>
          <w:rFonts w:ascii="New serif" w:hAnsi="New serif" w:cs="Calibri"/>
        </w:rPr>
        <w:t xml:space="preserve"> (1987), l’essai sur</w:t>
      </w:r>
      <w:r>
        <w:rPr>
          <w:rFonts w:ascii="New serif" w:hAnsi="New serif" w:cs="Calibri"/>
          <w:i/>
          <w:iCs/>
        </w:rPr>
        <w:t xml:space="preserve"> « le déclin de la culture générale » </w:t>
      </w:r>
      <w:r>
        <w:rPr>
          <w:rFonts w:ascii="New serif" w:hAnsi="New serif" w:cs="Calibri"/>
        </w:rPr>
        <w:t>du philosophe conservateur Allan Bloom (1930-1992), dont les thèses furent largement importées en France, a-t-il marqué un tournant. Dans la généalogie critique de cette « panique » qui hypertrophie et caricature les nouvelles approches des sciences sociales, Francis Dupuis-</w:t>
      </w:r>
      <w:proofErr w:type="spellStart"/>
      <w:r>
        <w:rPr>
          <w:rFonts w:ascii="New serif" w:hAnsi="New serif" w:cs="Calibri"/>
        </w:rPr>
        <w:t>Déri</w:t>
      </w:r>
      <w:proofErr w:type="spellEnd"/>
      <w:r>
        <w:rPr>
          <w:rFonts w:ascii="New serif" w:hAnsi="New serif" w:cs="Calibri"/>
        </w:rPr>
        <w:t xml:space="preserve"> relève une forme d’obscénité à les comparer au </w:t>
      </w:r>
      <w:r>
        <w:rPr>
          <w:rFonts w:ascii="New serif" w:hAnsi="New serif" w:cs="Calibri"/>
          <w:i/>
          <w:iCs/>
        </w:rPr>
        <w:t>« totalitarisme »</w:t>
      </w:r>
      <w:r>
        <w:rPr>
          <w:rFonts w:ascii="New serif" w:hAnsi="New serif" w:cs="Calibri"/>
        </w:rPr>
        <w:t xml:space="preserve"> et pointe l’indécence de ses contempteurs à se prendre pour des </w:t>
      </w:r>
      <w:r>
        <w:rPr>
          <w:rFonts w:ascii="New serif" w:hAnsi="New serif" w:cs="Calibri"/>
          <w:i/>
          <w:iCs/>
        </w:rPr>
        <w:t>« dissidents »</w:t>
      </w:r>
      <w:r>
        <w:rPr>
          <w:rFonts w:ascii="New serif" w:hAnsi="New serif" w:cs="Calibri"/>
        </w:rPr>
        <w:t xml:space="preserve">. L’auteur considère ainsi que </w:t>
      </w:r>
      <w:r>
        <w:rPr>
          <w:rFonts w:ascii="New serif" w:hAnsi="New serif" w:cs="Calibri"/>
          <w:i/>
          <w:iCs/>
        </w:rPr>
        <w:t xml:space="preserve">« les féministes et les antiracistes d’aujourd’hui </w:t>
      </w:r>
      <w:r>
        <w:rPr>
          <w:rFonts w:ascii="New serif" w:hAnsi="New serif" w:cs="Calibri"/>
        </w:rPr>
        <w:t>[ont]</w:t>
      </w:r>
      <w:r>
        <w:rPr>
          <w:rFonts w:ascii="New serif" w:hAnsi="New serif" w:cs="Calibri"/>
          <w:i/>
          <w:iCs/>
        </w:rPr>
        <w:t xml:space="preserve"> simplement remplacé les communistes d’hier »</w:t>
      </w:r>
      <w:r>
        <w:rPr>
          <w:rFonts w:ascii="New serif" w:hAnsi="New serif" w:cs="Calibri"/>
        </w:rPr>
        <w:t xml:space="preserve">. Pourtant, lui-même relève qu’il a connu </w:t>
      </w:r>
      <w:r>
        <w:rPr>
          <w:rFonts w:ascii="New serif" w:hAnsi="New serif" w:cs="Calibri"/>
          <w:i/>
          <w:iCs/>
        </w:rPr>
        <w:t>« des tensions et des conflits en classe, déclenchés par des progressistes ou des réactionnaires »</w:t>
      </w:r>
      <w:r>
        <w:rPr>
          <w:rFonts w:ascii="New serif" w:hAnsi="New serif" w:cs="Calibri"/>
        </w:rPr>
        <w:t>.</w:t>
      </w:r>
    </w:p>
    <w:p w14:paraId="4B84B936"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 xml:space="preserve">Mais il refuse de transformer des cas particuliers en règle générale, et s’attache en permanence à contextualiser. Le politiste rappelle notamment le faible nombre de départements et de programmes d’études de genre et sur le racisme dans les universités françaises et américaines. Et reproche à certains idéologues réactionnaires de se focaliser sur des conférences annulées, mais de taire ou de minorer des violences venues de l’extrême droite. Il s’attarde moins sur les critiques de gauche du </w:t>
      </w:r>
      <w:r>
        <w:rPr>
          <w:rFonts w:ascii="New serif" w:hAnsi="New serif" w:cs="Calibri"/>
          <w:i/>
          <w:iCs/>
        </w:rPr>
        <w:t>« marxisme culturel »</w:t>
      </w:r>
      <w:r>
        <w:rPr>
          <w:rFonts w:ascii="New serif" w:hAnsi="New serif" w:cs="Calibri"/>
        </w:rPr>
        <w:t xml:space="preserve"> qui auraient troqué la lutte des classes pour la théorie critique de la race. Car, estime Francis Dupuis-</w:t>
      </w:r>
      <w:proofErr w:type="spellStart"/>
      <w:r>
        <w:rPr>
          <w:rFonts w:ascii="New serif" w:hAnsi="New serif" w:cs="Calibri"/>
        </w:rPr>
        <w:t>Déri</w:t>
      </w:r>
      <w:proofErr w:type="spellEnd"/>
      <w:r>
        <w:rPr>
          <w:rFonts w:ascii="New serif" w:hAnsi="New serif" w:cs="Calibri"/>
        </w:rPr>
        <w:t>, l’industrie de la fabrique des idées penche nettement du côté des conservateurs, qui réalisent en pratique ce qu’ils dénoncent en théorie.</w:t>
      </w:r>
    </w:p>
    <w:p w14:paraId="3DC2233C" w14:textId="77777777" w:rsidR="00493501" w:rsidRDefault="00493501" w:rsidP="00493501">
      <w:pPr>
        <w:pStyle w:val="yiv0664085382ydp3f314b22yiv6761014047msonormal"/>
        <w:spacing w:before="0" w:beforeAutospacing="0" w:after="160" w:afterAutospacing="0"/>
        <w:jc w:val="both"/>
        <w:rPr>
          <w:rFonts w:ascii="Calibri" w:hAnsi="Calibri" w:cs="Calibri"/>
          <w:sz w:val="22"/>
          <w:szCs w:val="22"/>
        </w:rPr>
      </w:pPr>
      <w:r>
        <w:rPr>
          <w:rFonts w:ascii="New serif" w:hAnsi="New serif" w:cs="Calibri"/>
        </w:rPr>
        <w:t xml:space="preserve">« Panique à l’université. Rectitude politique, </w:t>
      </w:r>
      <w:proofErr w:type="spellStart"/>
      <w:r>
        <w:rPr>
          <w:rFonts w:ascii="New serif" w:hAnsi="New serif" w:cs="Calibri"/>
        </w:rPr>
        <w:t>wokes</w:t>
      </w:r>
      <w:proofErr w:type="spellEnd"/>
      <w:r>
        <w:rPr>
          <w:rFonts w:ascii="New serif" w:hAnsi="New serif" w:cs="Calibri"/>
        </w:rPr>
        <w:t xml:space="preserve"> et autres menaces imaginaires », de Francis Dupuis-</w:t>
      </w:r>
      <w:proofErr w:type="spellStart"/>
      <w:r>
        <w:rPr>
          <w:rFonts w:ascii="New serif" w:hAnsi="New serif" w:cs="Calibri"/>
        </w:rPr>
        <w:t>Déri</w:t>
      </w:r>
      <w:proofErr w:type="spellEnd"/>
      <w:r>
        <w:rPr>
          <w:rFonts w:ascii="New serif" w:hAnsi="New serif" w:cs="Calibri"/>
        </w:rPr>
        <w:t xml:space="preserve"> (Lux, 328 p., 20 €).</w:t>
      </w:r>
    </w:p>
    <w:p w14:paraId="5BCE8DBC" w14:textId="77777777" w:rsidR="00493501" w:rsidRDefault="00493501" w:rsidP="00493501">
      <w:pPr>
        <w:pStyle w:val="yiv0664085382ydp3f314b22yiv6761014047msonormal"/>
        <w:spacing w:before="0" w:beforeAutospacing="0" w:after="160" w:afterAutospacing="0" w:line="256" w:lineRule="auto"/>
        <w:jc w:val="both"/>
        <w:rPr>
          <w:rFonts w:ascii="Calibri" w:hAnsi="Calibri" w:cs="Calibri"/>
          <w:sz w:val="22"/>
          <w:szCs w:val="22"/>
        </w:rPr>
      </w:pPr>
      <w:r>
        <w:rPr>
          <w:rFonts w:ascii="Helvetica" w:hAnsi="Helvetica" w:cs="Calibri"/>
          <w:color w:val="717B8E"/>
          <w:spacing w:val="3"/>
          <w:sz w:val="21"/>
          <w:szCs w:val="21"/>
        </w:rPr>
        <w:t>Propos recueillis par </w:t>
      </w:r>
      <w:hyperlink r:id="rId9" w:tgtFrame="_blank" w:history="1">
        <w:r>
          <w:rPr>
            <w:rStyle w:val="Lienhypertexte"/>
            <w:rFonts w:ascii="Helvetica" w:hAnsi="Helvetica" w:cs="Calibri"/>
            <w:spacing w:val="3"/>
            <w:sz w:val="21"/>
            <w:szCs w:val="21"/>
          </w:rPr>
          <w:t>Nicolas Truong</w:t>
        </w:r>
      </w:hyperlink>
    </w:p>
    <w:p w14:paraId="23A4F632" w14:textId="77777777" w:rsidR="009C6057" w:rsidRPr="00493501" w:rsidRDefault="009C6057" w:rsidP="00493501">
      <w:pPr>
        <w:jc w:val="both"/>
      </w:pPr>
    </w:p>
    <w:sectPr w:rsidR="009C6057" w:rsidRPr="00493501" w:rsidSect="005E4E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serif">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E6B"/>
    <w:rsid w:val="00493501"/>
    <w:rsid w:val="005E4E6B"/>
    <w:rsid w:val="009C6057"/>
    <w:rsid w:val="00AA22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929A3"/>
  <w15:chartTrackingRefBased/>
  <w15:docId w15:val="{D4125E05-57CA-48C4-BFE8-8AAEA9A8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E4E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E4E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4E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E4E6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E4E6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E4E6B"/>
    <w:rPr>
      <w:color w:val="0000FF"/>
      <w:u w:val="single"/>
    </w:rPr>
  </w:style>
  <w:style w:type="character" w:styleId="Accentuation">
    <w:name w:val="Emphasis"/>
    <w:basedOn w:val="Policepardfaut"/>
    <w:uiPriority w:val="20"/>
    <w:qFormat/>
    <w:rsid w:val="005E4E6B"/>
    <w:rPr>
      <w:i/>
      <w:iCs/>
    </w:rPr>
  </w:style>
  <w:style w:type="paragraph" w:customStyle="1" w:styleId="yiv0664085382ydp3f314b22yiv6761014047msonormal">
    <w:name w:val="yiv0664085382ydp3f314b22yiv6761014047msonormal"/>
    <w:basedOn w:val="Normal"/>
    <w:rsid w:val="0049350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15128">
      <w:bodyDiv w:val="1"/>
      <w:marLeft w:val="0"/>
      <w:marRight w:val="0"/>
      <w:marTop w:val="0"/>
      <w:marBottom w:val="0"/>
      <w:divBdr>
        <w:top w:val="none" w:sz="0" w:space="0" w:color="auto"/>
        <w:left w:val="none" w:sz="0" w:space="0" w:color="auto"/>
        <w:bottom w:val="none" w:sz="0" w:space="0" w:color="auto"/>
        <w:right w:val="none" w:sz="0" w:space="0" w:color="auto"/>
      </w:divBdr>
      <w:divsChild>
        <w:div w:id="369379304">
          <w:marLeft w:val="0"/>
          <w:marRight w:val="0"/>
          <w:marTop w:val="0"/>
          <w:marBottom w:val="0"/>
          <w:divBdr>
            <w:top w:val="none" w:sz="0" w:space="0" w:color="auto"/>
            <w:left w:val="none" w:sz="0" w:space="0" w:color="auto"/>
            <w:bottom w:val="none" w:sz="0" w:space="0" w:color="auto"/>
            <w:right w:val="none" w:sz="0" w:space="0" w:color="auto"/>
          </w:divBdr>
          <w:divsChild>
            <w:div w:id="1509176694">
              <w:marLeft w:val="0"/>
              <w:marRight w:val="0"/>
              <w:marTop w:val="0"/>
              <w:marBottom w:val="0"/>
              <w:divBdr>
                <w:top w:val="none" w:sz="0" w:space="0" w:color="auto"/>
                <w:left w:val="none" w:sz="0" w:space="0" w:color="auto"/>
                <w:bottom w:val="none" w:sz="0" w:space="0" w:color="auto"/>
                <w:right w:val="none" w:sz="0" w:space="0" w:color="auto"/>
              </w:divBdr>
              <w:divsChild>
                <w:div w:id="1735856402">
                  <w:marLeft w:val="0"/>
                  <w:marRight w:val="0"/>
                  <w:marTop w:val="0"/>
                  <w:marBottom w:val="0"/>
                  <w:divBdr>
                    <w:top w:val="none" w:sz="0" w:space="0" w:color="auto"/>
                    <w:left w:val="none" w:sz="0" w:space="0" w:color="auto"/>
                    <w:bottom w:val="none" w:sz="0" w:space="0" w:color="auto"/>
                    <w:right w:val="none" w:sz="0" w:space="0" w:color="auto"/>
                  </w:divBdr>
                  <w:divsChild>
                    <w:div w:id="1542399524">
                      <w:marLeft w:val="0"/>
                      <w:marRight w:val="0"/>
                      <w:marTop w:val="0"/>
                      <w:marBottom w:val="0"/>
                      <w:divBdr>
                        <w:top w:val="none" w:sz="0" w:space="0" w:color="auto"/>
                        <w:left w:val="none" w:sz="0" w:space="0" w:color="auto"/>
                        <w:bottom w:val="none" w:sz="0" w:space="0" w:color="auto"/>
                        <w:right w:val="none" w:sz="0" w:space="0" w:color="auto"/>
                      </w:divBdr>
                    </w:div>
                    <w:div w:id="1246181949">
                      <w:marLeft w:val="0"/>
                      <w:marRight w:val="0"/>
                      <w:marTop w:val="0"/>
                      <w:marBottom w:val="0"/>
                      <w:divBdr>
                        <w:top w:val="none" w:sz="0" w:space="0" w:color="auto"/>
                        <w:left w:val="none" w:sz="0" w:space="0" w:color="auto"/>
                        <w:bottom w:val="none" w:sz="0" w:space="0" w:color="auto"/>
                        <w:right w:val="none" w:sz="0" w:space="0" w:color="auto"/>
                      </w:divBdr>
                    </w:div>
                    <w:div w:id="13153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4024">
              <w:marLeft w:val="0"/>
              <w:marRight w:val="0"/>
              <w:marTop w:val="0"/>
              <w:marBottom w:val="0"/>
              <w:divBdr>
                <w:top w:val="none" w:sz="0" w:space="0" w:color="auto"/>
                <w:left w:val="none" w:sz="0" w:space="0" w:color="auto"/>
                <w:bottom w:val="none" w:sz="0" w:space="0" w:color="auto"/>
                <w:right w:val="none" w:sz="0" w:space="0" w:color="auto"/>
              </w:divBdr>
              <w:divsChild>
                <w:div w:id="57439148">
                  <w:marLeft w:val="0"/>
                  <w:marRight w:val="0"/>
                  <w:marTop w:val="0"/>
                  <w:marBottom w:val="0"/>
                  <w:divBdr>
                    <w:top w:val="none" w:sz="0" w:space="0" w:color="auto"/>
                    <w:left w:val="none" w:sz="0" w:space="0" w:color="auto"/>
                    <w:bottom w:val="none" w:sz="0" w:space="0" w:color="auto"/>
                    <w:right w:val="none" w:sz="0" w:space="0" w:color="auto"/>
                  </w:divBdr>
                </w:div>
              </w:divsChild>
            </w:div>
            <w:div w:id="2067292503">
              <w:marLeft w:val="0"/>
              <w:marRight w:val="0"/>
              <w:marTop w:val="0"/>
              <w:marBottom w:val="0"/>
              <w:divBdr>
                <w:top w:val="none" w:sz="0" w:space="0" w:color="auto"/>
                <w:left w:val="none" w:sz="0" w:space="0" w:color="auto"/>
                <w:bottom w:val="none" w:sz="0" w:space="0" w:color="auto"/>
                <w:right w:val="none" w:sz="0" w:space="0" w:color="auto"/>
              </w:divBdr>
              <w:divsChild>
                <w:div w:id="1505391111">
                  <w:marLeft w:val="0"/>
                  <w:marRight w:val="0"/>
                  <w:marTop w:val="0"/>
                  <w:marBottom w:val="0"/>
                  <w:divBdr>
                    <w:top w:val="none" w:sz="0" w:space="0" w:color="auto"/>
                    <w:left w:val="none" w:sz="0" w:space="0" w:color="auto"/>
                    <w:bottom w:val="none" w:sz="0" w:space="0" w:color="auto"/>
                    <w:right w:val="none" w:sz="0" w:space="0" w:color="auto"/>
                  </w:divBdr>
                </w:div>
                <w:div w:id="512304180">
                  <w:marLeft w:val="0"/>
                  <w:marRight w:val="0"/>
                  <w:marTop w:val="0"/>
                  <w:marBottom w:val="0"/>
                  <w:divBdr>
                    <w:top w:val="none" w:sz="0" w:space="0" w:color="auto"/>
                    <w:left w:val="none" w:sz="0" w:space="0" w:color="auto"/>
                    <w:bottom w:val="none" w:sz="0" w:space="0" w:color="auto"/>
                    <w:right w:val="none" w:sz="0" w:space="0" w:color="auto"/>
                  </w:divBdr>
                </w:div>
              </w:divsChild>
            </w:div>
            <w:div w:id="1989279774">
              <w:marLeft w:val="0"/>
              <w:marRight w:val="0"/>
              <w:marTop w:val="0"/>
              <w:marBottom w:val="0"/>
              <w:divBdr>
                <w:top w:val="none" w:sz="0" w:space="0" w:color="auto"/>
                <w:left w:val="none" w:sz="0" w:space="0" w:color="auto"/>
                <w:bottom w:val="none" w:sz="0" w:space="0" w:color="auto"/>
                <w:right w:val="none" w:sz="0" w:space="0" w:color="auto"/>
              </w:divBdr>
            </w:div>
            <w:div w:id="2084788057">
              <w:marLeft w:val="0"/>
              <w:marRight w:val="0"/>
              <w:marTop w:val="0"/>
              <w:marBottom w:val="0"/>
              <w:divBdr>
                <w:top w:val="none" w:sz="0" w:space="0" w:color="auto"/>
                <w:left w:val="none" w:sz="0" w:space="0" w:color="auto"/>
                <w:bottom w:val="none" w:sz="0" w:space="0" w:color="auto"/>
                <w:right w:val="none" w:sz="0" w:space="0" w:color="auto"/>
              </w:divBdr>
              <w:divsChild>
                <w:div w:id="1740052632">
                  <w:marLeft w:val="0"/>
                  <w:marRight w:val="0"/>
                  <w:marTop w:val="0"/>
                  <w:marBottom w:val="0"/>
                  <w:divBdr>
                    <w:top w:val="none" w:sz="0" w:space="0" w:color="auto"/>
                    <w:left w:val="none" w:sz="0" w:space="0" w:color="auto"/>
                    <w:bottom w:val="none" w:sz="0" w:space="0" w:color="auto"/>
                    <w:right w:val="none" w:sz="0" w:space="0" w:color="auto"/>
                  </w:divBdr>
                  <w:divsChild>
                    <w:div w:id="905266050">
                      <w:marLeft w:val="0"/>
                      <w:marRight w:val="0"/>
                      <w:marTop w:val="0"/>
                      <w:marBottom w:val="0"/>
                      <w:divBdr>
                        <w:top w:val="none" w:sz="0" w:space="0" w:color="auto"/>
                        <w:left w:val="none" w:sz="0" w:space="0" w:color="auto"/>
                        <w:bottom w:val="none" w:sz="0" w:space="0" w:color="auto"/>
                        <w:right w:val="none" w:sz="0" w:space="0" w:color="auto"/>
                      </w:divBdr>
                      <w:divsChild>
                        <w:div w:id="20506424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9828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nternational/video/2022/11/27/revolte-en-iran-sept-minutes-pour-comprendre-les-causes-profondes-de-la-colere_6151834_3210.html" TargetMode="External"/><Relationship Id="rId3" Type="http://schemas.openxmlformats.org/officeDocument/2006/relationships/webSettings" Target="webSettings.xml"/><Relationship Id="rId7" Type="http://schemas.openxmlformats.org/officeDocument/2006/relationships/hyperlink" Target="https://www.lemonde.fr/m-le-mag/article/2019/11/15/il-y-a-trente-ans-a-montreal-le-premier-feminicide-de-masse_6019295_450005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international/article/2021/02/08/les-militants-woke-s-inscrivent-dans-une-histoire-longue-de-mobilisation-politique-de-la-jeunesse_6069230_3210.html" TargetMode="External"/><Relationship Id="rId11" Type="http://schemas.openxmlformats.org/officeDocument/2006/relationships/theme" Target="theme/theme1.xml"/><Relationship Id="rId5" Type="http://schemas.openxmlformats.org/officeDocument/2006/relationships/hyperlink" Target="https://www.lemonde.fr/livres/article/2022/09/16/la-religion-woke-de-jean-francois-braunstein-la-chronique-essai-de-roger-pol-droit_6141860_3260.html" TargetMode="External"/><Relationship Id="rId10" Type="http://schemas.openxmlformats.org/officeDocument/2006/relationships/fontTable" Target="fontTable.xml"/><Relationship Id="rId4" Type="http://schemas.openxmlformats.org/officeDocument/2006/relationships/hyperlink" Target="https://www.lemonde.fr/idees/article/2022/01/06/biologique-culturel-systemique-le-racisme-en-trois-mutations_6108458_3232.html" TargetMode="External"/><Relationship Id="rId9" Type="http://schemas.openxmlformats.org/officeDocument/2006/relationships/hyperlink" Target="https://www.lemonde.fr/signataires/nicolas-truon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2055</Words>
  <Characters>11307</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2023-01-10T13:41:00Z</dcterms:created>
  <dcterms:modified xsi:type="dcterms:W3CDTF">2023-01-10T13:41:00Z</dcterms:modified>
</cp:coreProperties>
</file>