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Web"/>
        <w:spacing w:before="0" w:after="0"/>
        <w:rPr/>
      </w:pPr>
      <w:r>
        <w:rPr/>
        <w:drawing>
          <wp:inline distT="0" distB="0" distL="0" distR="0">
            <wp:extent cx="6292850" cy="1168400"/>
            <wp:effectExtent l="0" t="0" r="0" b="0"/>
            <wp:docPr id="0" name="Picture"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e image contenant texte&#10;&#10;Description générée automatiquement"/>
                    <pic:cNvPicPr>
                      <a:picLocks noChangeAspect="1" noChangeArrowheads="1"/>
                    </pic:cNvPicPr>
                  </pic:nvPicPr>
                  <pic:blipFill>
                    <a:blip r:embed="rId2"/>
                    <a:stretch>
                      <a:fillRect/>
                    </a:stretch>
                  </pic:blipFill>
                  <pic:spPr bwMode="auto">
                    <a:xfrm>
                      <a:off x="0" y="0"/>
                      <a:ext cx="6292850" cy="1168400"/>
                    </a:xfrm>
                    <a:prstGeom prst="rect">
                      <a:avLst/>
                    </a:prstGeom>
                    <a:noFill/>
                    <a:ln w="9525">
                      <a:noFill/>
                      <a:miter lim="800000"/>
                      <a:headEnd/>
                      <a:tailEnd/>
                    </a:ln>
                  </pic:spPr>
                </pic:pic>
              </a:graphicData>
            </a:graphic>
          </wp:inline>
        </w:drawing>
      </w:r>
    </w:p>
    <w:p>
      <w:pPr>
        <w:pStyle w:val="NormalWeb"/>
        <w:spacing w:before="0" w:after="0"/>
        <w:ind w:left="0" w:right="140" w:hanging="0"/>
        <w:jc w:val="right"/>
        <w:rPr>
          <w:color w:val="000000"/>
        </w:rPr>
      </w:pPr>
      <w:r>
        <w:rPr>
          <w:color w:val="000000"/>
        </w:rPr>
        <w:t>Paris, le 15 septembre 2022</w:t>
      </w:r>
    </w:p>
    <w:p>
      <w:pPr>
        <w:pStyle w:val="NormalWeb"/>
        <w:spacing w:before="0" w:after="0"/>
        <w:rPr>
          <w:color w:val="000000"/>
        </w:rPr>
      </w:pPr>
      <w:r>
        <w:rPr>
          <w:color w:val="000000"/>
        </w:rPr>
      </w:r>
    </w:p>
    <w:p>
      <w:pPr>
        <w:pStyle w:val="NormalWeb"/>
        <w:spacing w:before="0" w:after="0"/>
        <w:rPr>
          <w:color w:val="000000"/>
        </w:rPr>
      </w:pPr>
      <w:r>
        <w:rPr>
          <w:color w:val="000000"/>
        </w:rPr>
      </w:r>
    </w:p>
    <w:p>
      <w:pPr>
        <w:pStyle w:val="NormalWeb"/>
        <w:spacing w:before="0" w:after="0"/>
        <w:rPr>
          <w:color w:val="000000"/>
        </w:rPr>
      </w:pPr>
      <w:r>
        <w:rPr>
          <w:b/>
          <w:bCs/>
          <w:color w:val="000000"/>
        </w:rPr>
        <w:t>Communiqué de presse</w:t>
      </w:r>
      <w:r>
        <w:rPr>
          <w:color w:val="000000"/>
        </w:rPr>
        <w:t> : appel des retraités à la mobilisation du 29 septembre</w:t>
      </w:r>
    </w:p>
    <w:p>
      <w:pPr>
        <w:pStyle w:val="NormalWeb"/>
        <w:spacing w:before="0" w:after="0"/>
        <w:rPr>
          <w:color w:val="000000"/>
        </w:rPr>
      </w:pPr>
      <w:r>
        <w:rPr>
          <w:color w:val="000000"/>
        </w:rPr>
      </w:r>
    </w:p>
    <w:p>
      <w:pPr>
        <w:pStyle w:val="NormalWeb"/>
        <w:spacing w:before="0" w:after="0"/>
        <w:rPr>
          <w:color w:val="000000"/>
        </w:rPr>
      </w:pPr>
      <w:r>
        <w:rPr>
          <w:color w:val="000000"/>
        </w:rPr>
      </w:r>
    </w:p>
    <w:p>
      <w:pPr>
        <w:pStyle w:val="NormalWeb"/>
        <w:spacing w:before="0" w:after="0"/>
        <w:rPr>
          <w:color w:val="000000"/>
        </w:rPr>
      </w:pPr>
      <w:r>
        <w:rPr>
          <w:b/>
          <w:bCs/>
          <w:color w:val="000000"/>
        </w:rPr>
        <w:t>Les mesures gouvernementales sur le pouvoir d’achat ne suffisent pas à mettre fin à la paupérisation de la population</w:t>
      </w:r>
      <w:r>
        <w:rPr>
          <w:color w:val="000000"/>
        </w:rPr>
        <w:t>. La loi votée cet été pose seulement quelques rustines à travers des primes qui n'ouvrent aucun droit et qui à travers les exonérations de cotisations, ampute le salaire socialisé, fragilisant la protection sociale et le système de retraite.</w:t>
      </w:r>
    </w:p>
    <w:p>
      <w:pPr>
        <w:pStyle w:val="NormalWeb"/>
        <w:spacing w:before="0" w:after="0"/>
        <w:rPr>
          <w:color w:val="000000"/>
        </w:rPr>
      </w:pPr>
      <w:r>
        <w:rPr>
          <w:color w:val="000000"/>
        </w:rPr>
      </w:r>
    </w:p>
    <w:p>
      <w:pPr>
        <w:pStyle w:val="NormalWeb"/>
        <w:spacing w:before="0" w:after="0"/>
        <w:rPr>
          <w:color w:val="000000"/>
        </w:rPr>
      </w:pPr>
      <w:r>
        <w:rPr>
          <w:b/>
          <w:bCs/>
          <w:color w:val="000000"/>
        </w:rPr>
        <w:t>Pour les retraités</w:t>
      </w:r>
      <w:r>
        <w:rPr>
          <w:color w:val="000000"/>
        </w:rPr>
        <w:t>, le gouvernement présente la revalorisation de 4 % des pensions de base comme un maintien du pouvoir d’achat, c’est faux. La précédente revalorisation de 1,1 % du 1</w:t>
      </w:r>
      <w:r>
        <w:rPr>
          <w:color w:val="000000"/>
          <w:vertAlign w:val="superscript"/>
        </w:rPr>
        <w:t>er</w:t>
      </w:r>
      <w:r>
        <w:rPr>
          <w:color w:val="000000"/>
        </w:rPr>
        <w:t xml:space="preserve"> janvier 2022 était censée compenser l’inflation jusqu’au 31 octobre 2021. Depuis cette date, en 9 mois, les prix se sont envolés, bien plus que les 4 % (qui seront, en outre, versés avec 3 mois de retard).</w:t>
      </w:r>
    </w:p>
    <w:p>
      <w:pPr>
        <w:pStyle w:val="NormalWeb"/>
        <w:spacing w:before="0" w:after="0"/>
        <w:rPr>
          <w:color w:val="000000"/>
        </w:rPr>
      </w:pPr>
      <w:r>
        <w:rPr>
          <w:color w:val="000000"/>
        </w:rPr>
        <w:t>Et, pour la majorité des retraitées et retraités qui dépendent du privé, la complémentaire Agirc-Arrco n’a pas bougé alors qu’elle représente environ un tiers des revenus. Les nombreux polypensionnés de la Fonction publique sont aussi concernés par ce dossier et attendent. Malgré les demandes des organisations syndicales, le Medef bloque et refuse toute négociation avant la date habituelle du 1</w:t>
      </w:r>
      <w:r>
        <w:rPr>
          <w:color w:val="000000"/>
          <w:vertAlign w:val="superscript"/>
        </w:rPr>
        <w:t>er</w:t>
      </w:r>
      <w:r>
        <w:rPr>
          <w:color w:val="000000"/>
        </w:rPr>
        <w:t xml:space="preserve"> novembre. Pendant ce temps-là, les prix de première nécessité s’envolent…</w:t>
      </w:r>
    </w:p>
    <w:p>
      <w:pPr>
        <w:pStyle w:val="NormalWeb"/>
        <w:spacing w:before="0" w:after="0"/>
        <w:rPr>
          <w:color w:val="000000"/>
        </w:rPr>
      </w:pPr>
      <w:r>
        <w:rPr>
          <w:color w:val="000000"/>
        </w:rPr>
      </w:r>
    </w:p>
    <w:p>
      <w:pPr>
        <w:pStyle w:val="NormalWeb"/>
        <w:spacing w:before="0" w:after="0"/>
        <w:rPr>
          <w:color w:val="000000"/>
        </w:rPr>
      </w:pPr>
      <w:r>
        <w:rPr>
          <w:b/>
          <w:bCs/>
          <w:color w:val="000000"/>
        </w:rPr>
        <w:t>La crise énergétique</w:t>
      </w:r>
      <w:r>
        <w:rPr>
          <w:color w:val="000000"/>
        </w:rPr>
        <w:t xml:space="preserve"> pèse déjà fortement sur la population, particulièrement sur les plus précaires, tandis qu’aucune mesure réelle n’est prise pour une transition écologique juste. Le gouvernement se contente d’incitations à des économies d’énergies culpabilisantes, tandis que d’autres pays européens (Italie, Espagne, Allemagne, Angleterre...) s’engagent dans la taxation des superprofits des entreprises du secteur énergétique et que d’autres mettent en place des passes ferroviaires gratuits !</w:t>
      </w:r>
    </w:p>
    <w:p>
      <w:pPr>
        <w:pStyle w:val="NormalWeb"/>
        <w:spacing w:before="0" w:after="0"/>
        <w:rPr>
          <w:color w:val="000000"/>
        </w:rPr>
      </w:pPr>
      <w:r>
        <w:rPr>
          <w:color w:val="000000"/>
        </w:rPr>
      </w:r>
    </w:p>
    <w:p>
      <w:pPr>
        <w:pStyle w:val="NormalWeb"/>
        <w:spacing w:before="0" w:after="0"/>
        <w:rPr>
          <w:color w:val="000000"/>
        </w:rPr>
      </w:pPr>
      <w:r>
        <w:rPr>
          <w:b/>
          <w:bCs/>
          <w:color w:val="000000"/>
        </w:rPr>
        <w:t>Le gouvernement poursuit aussi une politique fiscale</w:t>
      </w:r>
      <w:r>
        <w:rPr>
          <w:color w:val="000000"/>
        </w:rPr>
        <w:t xml:space="preserve"> qui assèche les comptes de l’État au profit des grandes entreprises et au détriment des services publics (santé, éducation, ...) et du financement de la transformation écologique.</w:t>
      </w:r>
    </w:p>
    <w:p>
      <w:pPr>
        <w:pStyle w:val="NormalWeb"/>
        <w:spacing w:before="0" w:after="0"/>
        <w:rPr>
          <w:b/>
          <w:bCs/>
          <w:color w:val="000000"/>
        </w:rPr>
      </w:pPr>
      <w:r>
        <w:rPr>
          <w:b/>
          <w:bCs/>
          <w:color w:val="000000"/>
        </w:rPr>
      </w:r>
    </w:p>
    <w:p>
      <w:pPr>
        <w:pStyle w:val="NormalWeb"/>
        <w:spacing w:before="0" w:after="0"/>
        <w:rPr>
          <w:color w:val="000000"/>
        </w:rPr>
      </w:pPr>
      <w:r>
        <w:rPr>
          <w:b/>
          <w:bCs/>
          <w:color w:val="000000"/>
        </w:rPr>
        <w:t xml:space="preserve">Le compte n’y est pas </w:t>
      </w:r>
      <w:r>
        <w:rPr>
          <w:color w:val="000000"/>
        </w:rPr>
        <w:t>pour les retraités et les retraitées qui doivent se mobiliser plus que jamais pour défendre leur droit à vivre à la retraite, incluant les loisirs et la culture, et pas seulement survivre !</w:t>
      </w:r>
    </w:p>
    <w:p>
      <w:pPr>
        <w:pStyle w:val="NormalWeb"/>
        <w:spacing w:before="0" w:after="0"/>
        <w:rPr>
          <w:b/>
          <w:bCs/>
          <w:color w:val="000000"/>
        </w:rPr>
      </w:pPr>
      <w:r>
        <w:rPr>
          <w:b/>
          <w:bCs/>
          <w:color w:val="000000"/>
        </w:rPr>
        <w:t xml:space="preserve">C’est pourquoi nos organisations de retraitées et retraités CGT, FSU, Solidaires, FGR-FP, LSR, UNRPA Ensemble &amp; Solidaires appellent à participer aux manifestations jeudi 29 septembre et à s’inscrire dans une mobilisation large et dans la durée. </w:t>
      </w:r>
    </w:p>
    <w:p>
      <w:pPr>
        <w:pStyle w:val="NormalWeb"/>
        <w:spacing w:before="0" w:after="0"/>
        <w:rPr>
          <w:b/>
          <w:bCs/>
          <w:color w:val="000000"/>
        </w:rPr>
      </w:pPr>
      <w:r>
        <w:rPr>
          <w:b/>
          <w:bCs/>
          <w:color w:val="000000"/>
        </w:rPr>
      </w:r>
    </w:p>
    <w:p>
      <w:pPr>
        <w:pStyle w:val="NormalWeb"/>
        <w:spacing w:before="0" w:after="0"/>
        <w:rPr>
          <w:b/>
          <w:bCs/>
          <w:color w:val="000000"/>
        </w:rPr>
      </w:pPr>
      <w:r>
        <w:rPr>
          <w:b/>
          <w:bCs/>
          <w:color w:val="000000"/>
        </w:rPr>
      </w:r>
    </w:p>
    <w:p>
      <w:pPr>
        <w:pStyle w:val="NormalWeb"/>
        <w:spacing w:before="0" w:after="0"/>
        <w:rPr>
          <w:b/>
          <w:bCs/>
          <w:color w:val="000000"/>
        </w:rPr>
      </w:pPr>
      <w:r>
        <w:rPr>
          <w:b/>
          <w:bCs/>
          <w:color w:val="000000"/>
        </w:rPr>
      </w:r>
    </w:p>
    <w:p>
      <w:pPr>
        <w:pStyle w:val="NormalWeb"/>
        <w:spacing w:before="0" w:after="0"/>
        <w:rPr>
          <w:b/>
          <w:bCs/>
          <w:color w:val="000000"/>
        </w:rPr>
      </w:pPr>
      <w:r>
        <w:rPr>
          <w:b/>
          <w:bCs/>
          <w:color w:val="000000"/>
        </w:rPr>
      </w:r>
    </w:p>
    <w:p>
      <w:pPr>
        <w:pStyle w:val="NormalWeb"/>
        <w:spacing w:before="0" w:after="0"/>
        <w:ind w:left="567" w:right="0" w:hanging="0"/>
        <w:rPr>
          <w:color w:val="000000"/>
        </w:rPr>
      </w:pPr>
      <w:r>
        <w:rPr>
          <w:color w:val="000000"/>
        </w:rPr>
        <w:t xml:space="preserve">Marc Bastide (UCR-CGT, 263 rue de Paris, 93515 Montreuil cedex) </w:t>
      </w:r>
    </w:p>
    <w:p>
      <w:pPr>
        <w:pStyle w:val="NormalWeb"/>
        <w:spacing w:before="0" w:after="0"/>
        <w:ind w:left="567" w:right="0" w:hanging="0"/>
        <w:rPr>
          <w:color w:val="000000"/>
        </w:rPr>
      </w:pPr>
      <w:r>
        <w:rPr>
          <w:color w:val="000000"/>
        </w:rPr>
        <w:t xml:space="preserve">Marylène Cahouet (FSU, 104 rue Romain Rolland, 93260 Les Lilas) </w:t>
      </w:r>
    </w:p>
    <w:p>
      <w:pPr>
        <w:pStyle w:val="NormalWeb"/>
        <w:spacing w:before="0" w:after="0"/>
        <w:ind w:left="567" w:right="0" w:hanging="0"/>
        <w:rPr>
          <w:color w:val="000000"/>
        </w:rPr>
      </w:pPr>
      <w:r>
        <w:rPr>
          <w:color w:val="000000"/>
        </w:rPr>
        <w:t>Gérard Gourguechon (UNIRS-Solidaires, 31 rue de la Grange aux Belles, 75010 Paris)</w:t>
      </w:r>
    </w:p>
    <w:p>
      <w:pPr>
        <w:pStyle w:val="NormalWeb"/>
        <w:spacing w:before="0" w:after="0"/>
        <w:ind w:left="567" w:right="0" w:hanging="0"/>
        <w:rPr>
          <w:color w:val="000000"/>
        </w:rPr>
      </w:pPr>
      <w:r>
        <w:rPr>
          <w:color w:val="000000"/>
        </w:rPr>
        <w:t xml:space="preserve">Jacques Brillet (FGR-FP, 20 rue Vignon, 75009 Paris) </w:t>
      </w:r>
    </w:p>
    <w:p>
      <w:pPr>
        <w:pStyle w:val="NormalWeb"/>
        <w:spacing w:before="0" w:after="0"/>
        <w:ind w:left="567" w:right="0" w:hanging="0"/>
        <w:rPr>
          <w:color w:val="000000"/>
        </w:rPr>
      </w:pPr>
      <w:r>
        <w:rPr>
          <w:color w:val="000000"/>
        </w:rPr>
        <w:t xml:space="preserve">Roger Perret (Ensemble &amp; solidaires - UNRPA, 47 bis rue Kléber, 93400 St Ouen) </w:t>
      </w:r>
    </w:p>
    <w:p>
      <w:pPr>
        <w:pStyle w:val="NormalWeb"/>
        <w:spacing w:before="0" w:after="0"/>
        <w:ind w:left="567" w:right="0" w:hanging="0"/>
        <w:rPr>
          <w:color w:val="000000"/>
        </w:rPr>
      </w:pPr>
      <w:r>
        <w:rPr>
          <w:color w:val="000000"/>
        </w:rPr>
        <w:t>Bernard Serra (LSR, 263 rue de Paris, 93515 Montreuil)</w:t>
      </w:r>
    </w:p>
    <w:sectPr>
      <w:type w:val="nextPage"/>
      <w:pgSz w:w="11906" w:h="16838"/>
      <w:pgMar w:left="1021" w:right="1247" w:header="0" w:top="567" w:footer="0" w:bottom="73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4"/>
        <w:szCs w:val="24"/>
        <w:lang w:val="fr-FR" w:eastAsia="en-US" w:bidi="ar-SA"/>
      </w:rPr>
    </w:rPrDefault>
    <w:pPrDefault>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suppressAutoHyphens w:val="true"/>
      <w:bidi w:val="0"/>
      <w:jc w:val="left"/>
    </w:pPr>
    <w:rPr>
      <w:rFonts w:ascii="Calibri" w:hAnsi="Calibri" w:eastAsia="SimSun" w:cs="Calibri"/>
      <w:color w:val="auto"/>
      <w:sz w:val="24"/>
      <w:szCs w:val="24"/>
      <w:lang w:val="fr-FR" w:eastAsia="en-US" w:bidi="ar-SA"/>
    </w:rPr>
  </w:style>
  <w:style w:type="character" w:styleId="DefaultParagraphFont" w:default="1">
    <w:name w:val="Default Paragraph Font"/>
    <w:uiPriority w:val="1"/>
    <w:semiHidden/>
    <w:unhideWhenUsed/>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customStyle="1">
    <w:name w:val="Index"/>
    <w:basedOn w:val="Normal"/>
    <w:pPr>
      <w:suppressLineNumbers/>
    </w:pPr>
    <w:rPr>
      <w:rFonts w:cs="Mangal"/>
    </w:rPr>
  </w:style>
  <w:style w:type="paragraph" w:styleId="Titreprincipal" w:customStyle="1">
    <w:name w:val="Titre principal"/>
    <w:basedOn w:val="Normal"/>
    <w:pPr>
      <w:keepNext/>
      <w:spacing w:before="240" w:after="120"/>
      <w:jc w:val="left"/>
    </w:pPr>
    <w:rPr>
      <w:rFonts w:ascii="Liberation Sans" w:hAnsi="Liberation Sans" w:eastAsia="Microsoft YaHei" w:cs="Mangal"/>
      <w:sz w:val="28"/>
      <w:szCs w:val="28"/>
    </w:rPr>
  </w:style>
  <w:style w:type="paragraph" w:styleId="Caption">
    <w:name w:val="caption"/>
    <w:basedOn w:val="Normal"/>
    <w:pPr>
      <w:suppressLineNumbers/>
      <w:spacing w:before="120" w:after="120"/>
    </w:pPr>
    <w:rPr>
      <w:rFonts w:cs="Mangal"/>
      <w:i/>
      <w:iCs/>
    </w:rPr>
  </w:style>
  <w:style w:type="paragraph" w:styleId="NormalWeb">
    <w:name w:val="Normal (Web)"/>
    <w:uiPriority w:val="99"/>
    <w:unhideWhenUsed/>
    <w:rsid w:val="00575c85"/>
    <w:basedOn w:val="Normal"/>
    <w:pPr>
      <w:spacing w:before="0" w:after="280"/>
    </w:pPr>
    <w:rPr>
      <w:rFonts w:ascii="Times New Roman" w:hAnsi="Times New Roman" w:eastAsia="Times New Roman" w:cs="Times New Roman"/>
      <w:lang w:eastAsia="fr-F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LibreOffice/4.2.0.4$Windows_x86 LibreOffice_project/05dceb5d363845f2cf968344d7adab8dcfb2ba71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2022-09-15T11:49:00Z</dcterms:created>
  <dc:creator>FLORIAN PERRET</dc:creator>
  <dc:language>fr-FR</dc:language>
  <cp:lastModifiedBy>ghislaine.coinaud@orange.fr</cp:lastModifiedBy>
  <cp:lastPrinted>2022-09-14T16:25:00Z</cp:lastPrinted>
  <dcterms:modified xsi:type="dcterms:W3CDTF">2022-09-15T11:49:00Z</dcterms:modified>
  <cp:revision>2</cp:revision>
</cp:coreProperties>
</file>