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42F86" w14:textId="77777777" w:rsidR="001F34DC" w:rsidRPr="001F34DC" w:rsidRDefault="001F34DC" w:rsidP="001F34DC">
      <w:pPr>
        <w:pStyle w:val="Titre1"/>
        <w:spacing w:before="0"/>
        <w:rPr>
          <w:rFonts w:asciiTheme="minorHAnsi" w:hAnsiTheme="minorHAnsi" w:cstheme="minorHAnsi"/>
          <w:sz w:val="22"/>
          <w:szCs w:val="22"/>
        </w:rPr>
      </w:pPr>
      <w:r w:rsidRPr="001F34DC">
        <w:rPr>
          <w:rFonts w:asciiTheme="minorHAnsi" w:hAnsiTheme="minorHAnsi" w:cstheme="minorHAnsi"/>
          <w:sz w:val="22"/>
          <w:szCs w:val="22"/>
        </w:rPr>
        <w:t>Opinions politiques et syndicales, religion, santé : l’élargissement de trois fichiers policiers provoque l’inquiétude</w:t>
      </w:r>
    </w:p>
    <w:p w14:paraId="22DFE918" w14:textId="77777777" w:rsidR="001F34DC" w:rsidRPr="001F34DC" w:rsidRDefault="001F34DC" w:rsidP="001F34DC">
      <w:pPr>
        <w:rPr>
          <w:rFonts w:cstheme="minorHAnsi"/>
          <w:color w:val="8B9299"/>
        </w:rPr>
      </w:pPr>
      <w:r w:rsidRPr="001F34DC">
        <w:rPr>
          <w:rStyle w:val="yiv9283018474authors"/>
          <w:rFonts w:cstheme="minorHAnsi"/>
          <w:color w:val="8B9299"/>
        </w:rPr>
        <w:t xml:space="preserve">Par Martin </w:t>
      </w:r>
      <w:proofErr w:type="spellStart"/>
      <w:r w:rsidRPr="001F34DC">
        <w:rPr>
          <w:rStyle w:val="yiv9283018474authors"/>
          <w:rFonts w:cstheme="minorHAnsi"/>
          <w:color w:val="8B9299"/>
        </w:rPr>
        <w:t>Untersinger</w:t>
      </w:r>
      <w:proofErr w:type="spellEnd"/>
      <w:r w:rsidRPr="001F34DC">
        <w:rPr>
          <w:rStyle w:val="yiv9283018474authors"/>
          <w:rFonts w:cstheme="minorHAnsi"/>
          <w:color w:val="8B9299"/>
        </w:rPr>
        <w:t xml:space="preserve"> et Raphaëlle Besse </w:t>
      </w:r>
      <w:proofErr w:type="spellStart"/>
      <w:r w:rsidRPr="001F34DC">
        <w:rPr>
          <w:rStyle w:val="yiv9283018474authors"/>
          <w:rFonts w:cstheme="minorHAnsi"/>
          <w:color w:val="8B9299"/>
        </w:rPr>
        <w:t>Desmoulières</w:t>
      </w:r>
      <w:proofErr w:type="spellEnd"/>
    </w:p>
    <w:p w14:paraId="341FE3FE" w14:textId="77777777" w:rsidR="001F34DC" w:rsidRPr="001F34DC" w:rsidRDefault="001F34DC" w:rsidP="001F34DC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F34DC">
        <w:rPr>
          <w:rFonts w:asciiTheme="minorHAnsi" w:hAnsiTheme="minorHAnsi" w:cstheme="minorHAnsi"/>
          <w:sz w:val="22"/>
          <w:szCs w:val="22"/>
        </w:rPr>
        <w:t>Le ministre de l’intérieur assure qu’il s’agit de les adapter à la lutte contre le terrorisme. Le secrétaire général de Force ouvrière (FO), Yves Veyrier, étudie la possibilité d’un recours.</w:t>
      </w:r>
    </w:p>
    <w:p w14:paraId="44D651A2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L’histoire commence à faire du bruit, dans un contexte déjà tendu par la proposition de loi « sécurité globale » et le texte « séparatisme ». Mercredi 9 décembre, le secrétaire général de Force ouvrière (FO), Yves Veyrier, a écrit à la ministre du travail, Elisabeth Borne, pour lui faire part de sa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stupéfaction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et de ses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inquiétudes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après </w:t>
      </w:r>
      <w:hyperlink r:id="rId5" w:tgtFrame="_blank" w:history="1">
        <w:r w:rsidRPr="001F34DC">
          <w:rPr>
            <w:rStyle w:val="Lienhypertexte"/>
            <w:rFonts w:asciiTheme="minorHAnsi" w:hAnsiTheme="minorHAnsi" w:cstheme="minorHAnsi"/>
            <w:color w:val="003366"/>
            <w:sz w:val="22"/>
            <w:szCs w:val="22"/>
          </w:rPr>
          <w:t>la publication, le 4 décembre au </w:t>
        </w:r>
        <w:r w:rsidRPr="001F34DC">
          <w:rPr>
            <w:rStyle w:val="Accentuation"/>
            <w:rFonts w:asciiTheme="minorHAnsi" w:hAnsiTheme="minorHAnsi" w:cstheme="minorHAnsi"/>
            <w:color w:val="003366"/>
            <w:sz w:val="22"/>
            <w:szCs w:val="22"/>
            <w:u w:val="single"/>
          </w:rPr>
          <w:t>Journal officiel,</w:t>
        </w:r>
        <w:r w:rsidRPr="001F34DC">
          <w:rPr>
            <w:rStyle w:val="Lienhypertexte"/>
            <w:rFonts w:asciiTheme="minorHAnsi" w:hAnsiTheme="minorHAnsi" w:cstheme="minorHAnsi"/>
            <w:color w:val="003366"/>
            <w:sz w:val="22"/>
            <w:szCs w:val="22"/>
          </w:rPr>
          <w:t> de trois décrets</w:t>
        </w:r>
      </w:hyperlink>
      <w:r w:rsidRPr="001F34DC">
        <w:rPr>
          <w:rFonts w:asciiTheme="minorHAnsi" w:hAnsiTheme="minorHAnsi" w:cstheme="minorHAnsi"/>
          <w:color w:val="16212C"/>
          <w:sz w:val="22"/>
          <w:szCs w:val="22"/>
        </w:rPr>
        <w:t> modifiant des dispositions du code de la sécurité intérieure relatives au traitement de données à caractère personnel.</w:t>
      </w:r>
    </w:p>
    <w:p w14:paraId="6D069542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Ces décrets permettent d’élargir le champ de trois fichiers, à disposition notamment de certains services de renseignement, de police et de gendarmerie. Les deux premiers, le fichier Prévention des atteintes à la sécurité publique (PASP) et celui de Gestion de l’information et prévention des atteintes à la sécurité publique (</w:t>
      </w:r>
      <w:proofErr w:type="spell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Gipasp</w:t>
      </w:r>
      <w:proofErr w:type="spellEnd"/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), peuvent concerner des personnes suspectées </w:t>
      </w:r>
      <w:proofErr w:type="gram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de hooliganisme</w:t>
      </w:r>
      <w:proofErr w:type="gramEnd"/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, de faits de terrorisme ou de violences lors de manifestations. Le troisième, Enquêtes administratives liées à la sécurité publique (EASP), est lui utilisé pour réaliser les enquêtes administratives préalables à certains recrutements dans la fonction publique. Début novembre, 60 686 personnes étaient inscrites au PASP, 67 000 au </w:t>
      </w:r>
      <w:proofErr w:type="spell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Gipasp</w:t>
      </w:r>
      <w:proofErr w:type="spellEnd"/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 et 221 711 à l’EASP, selon des chiffres communiqués à l’AFP par la place Beauvau.</w:t>
      </w:r>
    </w:p>
    <w:p w14:paraId="3098E3E9" w14:textId="77777777" w:rsidR="001F34DC" w:rsidRPr="001F34DC" w:rsidRDefault="001F34DC" w:rsidP="001F34DC">
      <w:pPr>
        <w:rPr>
          <w:rFonts w:cstheme="minorHAnsi"/>
          <w:color w:val="16212C"/>
        </w:rPr>
      </w:pPr>
      <w:r w:rsidRPr="001F34DC">
        <w:rPr>
          <w:rFonts w:cstheme="minorHAnsi"/>
          <w:color w:val="16212C"/>
        </w:rPr>
        <w:t>Lire aussi (2018) : L’Assemblée inscrit la « protection » des données personnelles dans la Constitution</w:t>
      </w:r>
    </w:p>
    <w:p w14:paraId="746C40E0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De nouvelles données pourront y être renseignées, notamment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les opinions politiques »,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les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convictions philosophiques et religieuses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et l</w:t>
      </w:r>
      <w:proofErr w:type="gram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’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proofErr w:type="gramEnd"/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appartenance syndicale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 et non plus seulement ses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activités »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politiques, religieuses ou syndicales. Les personnes morales – en l’occurrence les associations – pourront aussi y être consignées. Dans ses avis sur les fichiers PASP et </w:t>
      </w:r>
      <w:proofErr w:type="spell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Gipasp</w:t>
      </w:r>
      <w:proofErr w:type="spellEnd"/>
      <w:r w:rsidRPr="001F34DC">
        <w:rPr>
          <w:rFonts w:asciiTheme="minorHAnsi" w:hAnsiTheme="minorHAnsi" w:cstheme="minorHAnsi"/>
          <w:color w:val="16212C"/>
          <w:sz w:val="22"/>
          <w:szCs w:val="22"/>
        </w:rPr>
        <w:t>, la Commission nationale de l’informatique et des libertés (CNIL) note que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la rédaction de certaines catégories de données est particulièrement large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7801CC67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Outre les catégories mentionnées plus haut, les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données de santé révélant une dangerosité particulière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 celles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relatives aux troubles psychologiques ou psychiatriques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 les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comportements et habitudes de vie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 les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déplacements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 les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pratiques sportives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ou encore les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activités sur les réseaux sociaux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pourront aussi y être inscrits. Les nouveaux décrets permettent également à l’exécutif d’étendre ces fichiers aux personnes présentant un danger pour la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sûreté de l’Etat », « susceptibles de porter atteinte aux intérêts fondamentaux de la nation ou de constituer une menace terroriste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780B9582" w14:textId="77777777" w:rsidR="001F34DC" w:rsidRPr="001F34DC" w:rsidRDefault="001F34DC" w:rsidP="001F34DC">
      <w:pPr>
        <w:pStyle w:val="Titre2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« Incompréhension »</w:t>
      </w:r>
    </w:p>
    <w:p w14:paraId="6F73936F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De quoi faire bondir M. Veyrier qui fait part dans son courrier de son «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incompréhension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– cela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pouvant laisser à penser que le simple fait d’être adhérent d’un syndicat, ou d’être un syndicat, puisse être rattaché à l’objet de ces articles et justifier un tel fichage ».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Il regrette aussi de ne pas en avoir été informé au préalable alors que son syndicat rencontre régulièrement le gouvernement. Ces dispositions pouvant selon lui </w:t>
      </w:r>
      <w:proofErr w:type="gram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porter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proofErr w:type="gramEnd"/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atteinte au principe de la liberté syndicale reconnue par les textes européens et internationaux »,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il demande que le texte incriminé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puisse être suspendu et retiré sur ces aspects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 M. Veyrier précise au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Monde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que sa confédération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étudie la possibilité d’un recours devant le Conseil d’Etat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3FEC093A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Le numéro un de FO n’est pas le seul à s’en émouvoir. Huit députés ex-La République en marche (LRM), dont Matthieu Orphelin, Aurélien Taché ou Cédric Villani, </w:t>
      </w:r>
      <w:hyperlink r:id="rId6" w:tgtFrame="_blank" w:history="1">
        <w:r w:rsidRPr="001F34DC">
          <w:rPr>
            <w:rStyle w:val="Lienhypertexte"/>
            <w:rFonts w:asciiTheme="minorHAnsi" w:hAnsiTheme="minorHAnsi" w:cstheme="minorHAnsi"/>
            <w:color w:val="003366"/>
            <w:sz w:val="22"/>
            <w:szCs w:val="22"/>
          </w:rPr>
          <w:t>ont également pris la plume mercredi</w:t>
        </w:r>
      </w:hyperlink>
      <w:r w:rsidRPr="001F34DC">
        <w:rPr>
          <w:rFonts w:asciiTheme="minorHAnsi" w:hAnsiTheme="minorHAnsi" w:cstheme="minorHAnsi"/>
          <w:color w:val="16212C"/>
          <w:sz w:val="22"/>
          <w:szCs w:val="22"/>
        </w:rPr>
        <w:t> pour demander au ministre de l’intérieur, Gérald Darmanin, des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éclaircissements</w:t>
      </w:r>
      <w:proofErr w:type="gramStart"/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sur</w:t>
      </w:r>
      <w:proofErr w:type="gramEnd"/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 ces changements réglementaires autorisant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l’enregistrement de données personnelles potentiellement très sensibles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dont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l’ampleur et la portée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(…)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interpellent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5D2AD24E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Sur Twitter, </w:t>
      </w:r>
      <w:hyperlink r:id="rId7" w:tgtFrame="_blank" w:history="1">
        <w:r w:rsidRPr="001F34DC">
          <w:rPr>
            <w:rStyle w:val="Lienhypertexte"/>
            <w:rFonts w:asciiTheme="minorHAnsi" w:hAnsiTheme="minorHAnsi" w:cstheme="minorHAnsi"/>
            <w:color w:val="003366"/>
            <w:sz w:val="22"/>
            <w:szCs w:val="22"/>
          </w:rPr>
          <w:t>le député Parti socialiste (PS) Boris Vallaud</w:t>
        </w:r>
      </w:hyperlink>
      <w:r w:rsidRPr="001F34DC">
        <w:rPr>
          <w:rFonts w:asciiTheme="minorHAnsi" w:hAnsiTheme="minorHAnsi" w:cstheme="minorHAnsi"/>
          <w:color w:val="16212C"/>
          <w:sz w:val="22"/>
          <w:szCs w:val="22"/>
        </w:rPr>
        <w:t> a demandé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le « retrait de ces dispositions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quand son collègue de La France insoumise (LFI), François Ruffin, a raillé :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Surveillance des activités politiques, syndicales, religieuses, des opinions politiques, philosophiques, des comportements, des habitudes de vie, des pratiques sportives. Jusqu’ici tout va bien…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Dans un communiqué, Europe Ecologie-Les Verts a estimé que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ces décrets représentent une atteinte supplémentaire à nos libertés les plus fondamentales ». </w:t>
      </w:r>
    </w:p>
    <w:p w14:paraId="4ED2EB2D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Le but de ces modifications, selon le ministère de l’intérieur, est d’adapter ces fichiers à la lutte contre le terrorisme. Interrogé mercredi lors des questions au gouvernement au Sénat, M. Darmanin, a justifié ces nouvelles dispositions, notamment par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l’évolution de la menace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A chaque fois, ces décrets sont pris après avis de la CNIL et validés par le Conseil d’Etat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 a-t-il déclaré, assurant qu</w:t>
      </w:r>
      <w:proofErr w:type="gram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’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proofErr w:type="gramEnd"/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il s’agit toujours de suivre les opinions des personnes extrémistes qui commettent des attentats et en aucun cas de retrouver les anciennes difficultés que notre pays a pu connaître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0C950C52" w14:textId="77777777" w:rsidR="001F34DC" w:rsidRPr="001F34DC" w:rsidRDefault="001F34DC" w:rsidP="001F34DC">
      <w:pPr>
        <w:pStyle w:val="Titre2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« Glissement sémantique »</w:t>
      </w:r>
    </w:p>
    <w:p w14:paraId="4D0659A4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Une référence au fichier Edvige qui avait créé la polémique en 2008, obligeant l’exécutif de l’époque à faire marche arrière. De son côté, le député LRM de Côte-d’Or, Didier Paris, coauteur en 2018 d’un rapport parlementaire sur les 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lastRenderedPageBreak/>
        <w:t>fichiers de police, juge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à titre personnel »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que le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glissement sémantique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consistant à passer d</w:t>
      </w:r>
      <w:proofErr w:type="gram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’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proofErr w:type="gramEnd"/>
      <w:r w:rsidRPr="001F34DC">
        <w:rPr>
          <w:rFonts w:asciiTheme="minorHAnsi" w:hAnsiTheme="minorHAnsi" w:cstheme="minorHAnsi"/>
          <w:color w:val="16212C"/>
          <w:sz w:val="22"/>
          <w:szCs w:val="22"/>
        </w:rPr>
        <w:t> a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ctivité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« opinion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n’est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pas très heureux »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mais que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cela reviendra au final au même, personne ne pouvant préjuger d’une opinion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07A9B6BB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 xml:space="preserve">Un avis que ne partage pas La Quadrature du Net, ONG spécialisée dans la défense des libertés publiques dont le porte-parole, Arthur </w:t>
      </w:r>
      <w:proofErr w:type="spellStart"/>
      <w:r w:rsidRPr="001F34DC">
        <w:rPr>
          <w:rFonts w:asciiTheme="minorHAnsi" w:hAnsiTheme="minorHAnsi" w:cstheme="minorHAnsi"/>
          <w:color w:val="16212C"/>
          <w:sz w:val="22"/>
          <w:szCs w:val="22"/>
        </w:rPr>
        <w:t>Messaud</w:t>
      </w:r>
      <w:proofErr w:type="spellEnd"/>
      <w:r w:rsidRPr="001F34DC">
        <w:rPr>
          <w:rFonts w:asciiTheme="minorHAnsi" w:hAnsiTheme="minorHAnsi" w:cstheme="minorHAnsi"/>
          <w:color w:val="16212C"/>
          <w:sz w:val="22"/>
          <w:szCs w:val="22"/>
        </w:rPr>
        <w:t>, se dit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extrêmement choqué que le gouvernement ait fait ça sans débat public, en catimini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Nous sommes aussi inquiets : tout ce qui avait été enlevé du fichier Edvige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,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à savoir le fichage des opinions politiques et religieuses, et non plus seulement des activités politiques et religieuses, a été remis,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 critique-t-il encore.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Comme pour la loi sur le renseignement, on a une pratique jusqu’ici illégale que la police convainc le gouvernement de légaliser a posteriori. »</w:t>
      </w:r>
    </w:p>
    <w:p w14:paraId="14D3E8B9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Dans ses avis, la CNIL note que les changements décidés par le ministère visent 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« tenir compte de l’évolution de certaines pratiques dans l’utilisation de ce traitement et, ce faisant, de les régulariser »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.</w:t>
      </w:r>
    </w:p>
    <w:p w14:paraId="2093AAF2" w14:textId="77777777" w:rsidR="001F34DC" w:rsidRPr="001F34DC" w:rsidRDefault="001F34DC" w:rsidP="001F34D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1F34DC">
        <w:rPr>
          <w:rFonts w:asciiTheme="minorHAnsi" w:hAnsiTheme="minorHAnsi" w:cstheme="minorHAnsi"/>
          <w:color w:val="16212C"/>
          <w:sz w:val="22"/>
          <w:szCs w:val="22"/>
        </w:rPr>
        <w:t>Ces choix sont d’autant plus problématiques selon M. Veyrier qu’ils interviennent après la controverse sur la proposition de loi « sécurité globale ». 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« Cela ne va pas contribuer à apaiser le climat, </w:t>
      </w:r>
      <w:r w:rsidRPr="001F34DC">
        <w:rPr>
          <w:rFonts w:asciiTheme="minorHAnsi" w:hAnsiTheme="minorHAnsi" w:cstheme="minorHAnsi"/>
          <w:color w:val="16212C"/>
          <w:sz w:val="22"/>
          <w:szCs w:val="22"/>
        </w:rPr>
        <w:t>déplore-t-il.</w:t>
      </w:r>
      <w:r w:rsidRPr="001F34DC">
        <w:rPr>
          <w:rStyle w:val="Accentuation"/>
          <w:rFonts w:asciiTheme="minorHAnsi" w:hAnsiTheme="minorHAnsi" w:cstheme="minorHAnsi"/>
          <w:color w:val="16212C"/>
          <w:sz w:val="22"/>
          <w:szCs w:val="22"/>
        </w:rPr>
        <w:t> Si on nous dit que l’Etat n’est pas liberticide – ce qui est à souhaiter, il ne faut pas jouer avec ça. »</w:t>
      </w:r>
    </w:p>
    <w:p w14:paraId="5C11C00F" w14:textId="77777777" w:rsidR="001F34DC" w:rsidRPr="001F34DC" w:rsidRDefault="001F34DC" w:rsidP="001F34DC">
      <w:pPr>
        <w:rPr>
          <w:rFonts w:cstheme="minorHAnsi"/>
          <w:color w:val="16212C"/>
        </w:rPr>
      </w:pPr>
      <w:r w:rsidRPr="001F34DC">
        <w:rPr>
          <w:rFonts w:cstheme="minorHAnsi"/>
          <w:color w:val="16212C"/>
        </w:rPr>
        <w:t>Lire aussi l’éditorial : Proposition de loi de « sécurité globale » : la double leçon de l’article 24</w:t>
      </w:r>
    </w:p>
    <w:p w14:paraId="3001D77E" w14:textId="77777777" w:rsidR="001F34DC" w:rsidRPr="001F34DC" w:rsidRDefault="001F34DC" w:rsidP="001F34DC">
      <w:pPr>
        <w:textAlignment w:val="center"/>
        <w:rPr>
          <w:rFonts w:cstheme="minorHAnsi"/>
          <w:color w:val="A2A9AE"/>
        </w:rPr>
      </w:pPr>
      <w:r w:rsidRPr="001F34DC">
        <w:rPr>
          <w:rStyle w:val="yiv9283018474bloc-titre"/>
          <w:rFonts w:cstheme="minorHAnsi"/>
          <w:b/>
          <w:bCs/>
          <w:color w:val="A2A9AE"/>
        </w:rPr>
        <w:t xml:space="preserve">Par Martin </w:t>
      </w:r>
      <w:proofErr w:type="spellStart"/>
      <w:r w:rsidRPr="001F34DC">
        <w:rPr>
          <w:rStyle w:val="yiv9283018474bloc-titre"/>
          <w:rFonts w:cstheme="minorHAnsi"/>
          <w:b/>
          <w:bCs/>
          <w:color w:val="A2A9AE"/>
        </w:rPr>
        <w:t>Untersinger</w:t>
      </w:r>
      <w:proofErr w:type="spellEnd"/>
      <w:r w:rsidRPr="001F34DC">
        <w:rPr>
          <w:rStyle w:val="yiv9283018474bloc-titre"/>
          <w:rFonts w:cstheme="minorHAnsi"/>
          <w:b/>
          <w:bCs/>
          <w:color w:val="A2A9AE"/>
        </w:rPr>
        <w:t xml:space="preserve"> et Raphaëlle Besse </w:t>
      </w:r>
      <w:proofErr w:type="spellStart"/>
      <w:r w:rsidRPr="001F34DC">
        <w:rPr>
          <w:rStyle w:val="yiv9283018474bloc-titre"/>
          <w:rFonts w:cstheme="minorHAnsi"/>
          <w:b/>
          <w:bCs/>
          <w:color w:val="A2A9AE"/>
        </w:rPr>
        <w:t>Desmoulières</w:t>
      </w:r>
      <w:proofErr w:type="spellEnd"/>
    </w:p>
    <w:p w14:paraId="57641109" w14:textId="77777777" w:rsidR="007F1325" w:rsidRPr="001F34DC" w:rsidRDefault="007F1325" w:rsidP="001F34DC">
      <w:pPr>
        <w:rPr>
          <w:rFonts w:cstheme="minorHAnsi"/>
        </w:rPr>
      </w:pPr>
    </w:p>
    <w:sectPr w:rsidR="007F1325" w:rsidRPr="001F34DC" w:rsidSect="005B6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8B0"/>
    <w:multiLevelType w:val="multilevel"/>
    <w:tmpl w:val="804A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AF"/>
    <w:rsid w:val="001F34DC"/>
    <w:rsid w:val="005B6AAF"/>
    <w:rsid w:val="007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F79D"/>
  <w15:chartTrackingRefBased/>
  <w15:docId w15:val="{1D5BCA1E-FB47-4A00-8CA2-402AAFC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3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B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B6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6A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B6A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article-rel-item">
    <w:name w:val="article-rel-item"/>
    <w:basedOn w:val="Normal"/>
    <w:rsid w:val="005B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are">
    <w:name w:val="share"/>
    <w:basedOn w:val="Policepardfaut"/>
    <w:rsid w:val="005B6AAF"/>
  </w:style>
  <w:style w:type="character" w:styleId="Lienhypertexte">
    <w:name w:val="Hyperlink"/>
    <w:basedOn w:val="Policepardfaut"/>
    <w:uiPriority w:val="99"/>
    <w:semiHidden/>
    <w:unhideWhenUsed/>
    <w:rsid w:val="005B6A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6AAF"/>
    <w:rPr>
      <w:b/>
      <w:bCs/>
    </w:rPr>
  </w:style>
  <w:style w:type="character" w:styleId="Accentuation">
    <w:name w:val="Emphasis"/>
    <w:basedOn w:val="Policepardfaut"/>
    <w:uiPriority w:val="20"/>
    <w:qFormat/>
    <w:rsid w:val="005B6AAF"/>
    <w:rPr>
      <w:i/>
      <w:iCs/>
    </w:rPr>
  </w:style>
  <w:style w:type="paragraph" w:customStyle="1" w:styleId="others">
    <w:name w:val="others"/>
    <w:basedOn w:val="Normal"/>
    <w:rsid w:val="005B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5B6AAF"/>
  </w:style>
  <w:style w:type="character" w:customStyle="1" w:styleId="Titre1Car">
    <w:name w:val="Titre 1 Car"/>
    <w:basedOn w:val="Policepardfaut"/>
    <w:link w:val="Titre1"/>
    <w:uiPriority w:val="9"/>
    <w:rsid w:val="001F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iv9283018474authors">
    <w:name w:val="yiv9283018474authors"/>
    <w:basedOn w:val="Policepardfaut"/>
    <w:rsid w:val="001F34DC"/>
  </w:style>
  <w:style w:type="character" w:customStyle="1" w:styleId="yiv9283018474block">
    <w:name w:val="yiv9283018474block"/>
    <w:basedOn w:val="Policepardfaut"/>
    <w:rsid w:val="001F34DC"/>
  </w:style>
  <w:style w:type="character" w:customStyle="1" w:styleId="yiv9283018474bloc-titre">
    <w:name w:val="yiv9283018474bloc-titre"/>
    <w:basedOn w:val="Policepardfaut"/>
    <w:rsid w:val="001F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6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70080">
                  <w:marLeft w:val="0"/>
                  <w:marRight w:val="0"/>
                  <w:marTop w:val="0"/>
                  <w:marBottom w:val="0"/>
                  <w:divBdr>
                    <w:top w:val="single" w:sz="6" w:space="0" w:color="D2D6DB"/>
                    <w:left w:val="single" w:sz="2" w:space="0" w:color="D2D6DB"/>
                    <w:bottom w:val="single" w:sz="6" w:space="0" w:color="D2D6DB"/>
                    <w:right w:val="single" w:sz="2" w:space="0" w:color="D2D6DB"/>
                  </w:divBdr>
                </w:div>
                <w:div w:id="482695370">
                  <w:marLeft w:val="0"/>
                  <w:marRight w:val="0"/>
                  <w:marTop w:val="0"/>
                  <w:marBottom w:val="0"/>
                  <w:divBdr>
                    <w:top w:val="single" w:sz="6" w:space="0" w:color="D2D6DB"/>
                    <w:left w:val="single" w:sz="2" w:space="0" w:color="D2D6DB"/>
                    <w:bottom w:val="single" w:sz="6" w:space="0" w:color="D2D6DB"/>
                    <w:right w:val="single" w:sz="2" w:space="0" w:color="D2D6DB"/>
                  </w:divBdr>
                </w:div>
              </w:divsChild>
            </w:div>
            <w:div w:id="1771585275">
              <w:marLeft w:val="0"/>
              <w:marRight w:val="0"/>
              <w:marTop w:val="0"/>
              <w:marBottom w:val="0"/>
              <w:divBdr>
                <w:top w:val="single" w:sz="6" w:space="0" w:color="D2D6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BorisVallaud/status/1336632102863953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PaulaForteza/status/1336802663573442562/photo/1" TargetMode="External"/><Relationship Id="rId5" Type="http://schemas.openxmlformats.org/officeDocument/2006/relationships/hyperlink" Target="https://www.legifrance.gouv.fr/jorf/jo/2020/12/04/02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2020-12-10T21:34:00Z</dcterms:created>
  <dcterms:modified xsi:type="dcterms:W3CDTF">2020-12-10T21:34:00Z</dcterms:modified>
</cp:coreProperties>
</file>