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B343" w14:textId="77777777" w:rsidR="00F727B6" w:rsidRPr="00AC7081" w:rsidRDefault="00F727B6" w:rsidP="00AC7081">
      <w:pPr>
        <w:spacing w:after="0" w:line="240" w:lineRule="auto"/>
        <w:jc w:val="both"/>
        <w:rPr>
          <w:rFonts w:eastAsia="Times New Roman" w:cstheme="minorHAnsi"/>
          <w:lang w:eastAsia="fr-FR"/>
        </w:rPr>
      </w:pPr>
      <w:r w:rsidRPr="00AC7081">
        <w:rPr>
          <w:rFonts w:eastAsia="Times New Roman" w:cstheme="minorHAnsi"/>
          <w:lang w:eastAsia="fr-FR"/>
        </w:rPr>
        <w:t xml:space="preserve">Social </w:t>
      </w:r>
    </w:p>
    <w:p w14:paraId="097AC63E" w14:textId="77777777" w:rsidR="00F727B6" w:rsidRPr="00AC7081" w:rsidRDefault="00F727B6" w:rsidP="00AC7081">
      <w:pPr>
        <w:spacing w:before="100" w:beforeAutospacing="1" w:after="100" w:afterAutospacing="1" w:line="240" w:lineRule="auto"/>
        <w:jc w:val="both"/>
        <w:outlineLvl w:val="0"/>
        <w:rPr>
          <w:rFonts w:eastAsia="Times New Roman" w:cstheme="minorHAnsi"/>
          <w:b/>
          <w:bCs/>
          <w:kern w:val="36"/>
          <w:lang w:eastAsia="fr-FR"/>
        </w:rPr>
      </w:pPr>
      <w:r w:rsidRPr="00AC7081">
        <w:rPr>
          <w:rFonts w:eastAsia="Times New Roman" w:cstheme="minorHAnsi"/>
          <w:b/>
          <w:bCs/>
          <w:kern w:val="36"/>
          <w:lang w:eastAsia="fr-FR"/>
        </w:rPr>
        <w:t xml:space="preserve">Retraites : 6 raisons pour lesquelles les Français ne peuvent pas travailler plus longtemps </w:t>
      </w:r>
    </w:p>
    <w:p w14:paraId="4613F524" w14:textId="77777777" w:rsidR="00F727B6" w:rsidRPr="00AC7081" w:rsidRDefault="00F727B6" w:rsidP="00AC7081">
      <w:pPr>
        <w:spacing w:after="0" w:line="240" w:lineRule="auto"/>
        <w:jc w:val="both"/>
        <w:rPr>
          <w:rFonts w:eastAsia="Times New Roman" w:cstheme="minorHAnsi"/>
          <w:lang w:eastAsia="fr-FR"/>
        </w:rPr>
      </w:pPr>
      <w:r w:rsidRPr="00AC7081">
        <w:rPr>
          <w:rFonts w:eastAsia="Times New Roman" w:cstheme="minorHAnsi"/>
          <w:lang w:eastAsia="fr-FR"/>
        </w:rPr>
        <w:t xml:space="preserve">Le 22 Octobre 2022 21 min </w:t>
      </w:r>
    </w:p>
    <w:p w14:paraId="06B03DE6"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Chômage déjà élevé chez les seniors, désintérêt des entreprises, pénibilité du travail, manque de formation… De très nombreux Français n’ont pas le luxe de pouvoir travailler plus longtemps.</w:t>
      </w:r>
    </w:p>
    <w:p w14:paraId="32434F89" w14:textId="77777777" w:rsidR="00F727B6" w:rsidRPr="00AC7081" w:rsidRDefault="00F727B6" w:rsidP="00AC7081">
      <w:pPr>
        <w:spacing w:before="100" w:beforeAutospacing="1" w:after="100" w:afterAutospacing="1" w:line="240" w:lineRule="auto"/>
        <w:jc w:val="both"/>
        <w:rPr>
          <w:rFonts w:eastAsia="Times New Roman" w:cstheme="minorHAnsi"/>
          <w:i/>
          <w:iCs/>
          <w:lang w:eastAsia="fr-FR"/>
        </w:rPr>
      </w:pPr>
    </w:p>
    <w:p w14:paraId="5B4F1056"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xml:space="preserve"> « Il faut travailler plus »</w:t>
      </w:r>
      <w:r w:rsidRPr="00AC7081">
        <w:rPr>
          <w:rFonts w:eastAsia="Times New Roman" w:cstheme="minorHAnsi"/>
          <w:lang w:eastAsia="fr-FR"/>
        </w:rPr>
        <w:t xml:space="preserve">, martèle à longueur d’ondes Emmanuel Macron. Pas pour gagner plus, cette fois, mais pour </w:t>
      </w:r>
      <w:r w:rsidRPr="00AC7081">
        <w:rPr>
          <w:rFonts w:eastAsia="Times New Roman" w:cstheme="minorHAnsi"/>
          <w:i/>
          <w:iCs/>
          <w:lang w:eastAsia="fr-FR"/>
        </w:rPr>
        <w:t>« produire plus »</w:t>
      </w:r>
      <w:r w:rsidRPr="00AC7081">
        <w:rPr>
          <w:rFonts w:eastAsia="Times New Roman" w:cstheme="minorHAnsi"/>
          <w:lang w:eastAsia="fr-FR"/>
        </w:rPr>
        <w:t xml:space="preserve"> et financer ainsi toutes sortes de besoins du pays. Y compris en acceptant de gagner moins, puisque le niveau relatif des pensions va de toute façon baisser, sous l’effet des réformes des retraites déjà passées.</w:t>
      </w:r>
    </w:p>
    <w:p w14:paraId="03329DB8"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Dit comme ça, on comprend que le projet de réforme des retraites se heurte à une franche hostilité de la part des Français. Le président semble néanmoins déterminé à avancer. Il l’a répété le 22 septembre dernier au micro de BFM TV : </w:t>
      </w:r>
      <w:r w:rsidRPr="00AC7081">
        <w:rPr>
          <w:rFonts w:eastAsia="Times New Roman" w:cstheme="minorHAnsi"/>
          <w:i/>
          <w:iCs/>
          <w:lang w:eastAsia="fr-FR"/>
        </w:rPr>
        <w:t>« La vérité, c’est qu’il faut travailler plus et produire plus de richesses dans notre pays si nous voulons protéger, avoir une politique de justice sociale et défendre le modèle social français. »</w:t>
      </w:r>
    </w:p>
    <w:p w14:paraId="47D95397"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Les détails de la réforme envisagée par l’exécutif ne sont pas encore connus, mais la piste d’un report de l’âge légal de départ de 62 ans à 65 ans d’ici à 2031 semble privilégiée. Or, c’est précisément cette mesure d’âge qui cristallise les tensions. A rebours des injonctions présidentielles, la très grande majorité des futurs pensionnés aspire à quitter la vie active le plus tôt possible. En 2021, six non-retraités sur dix souhaitaient partir à la retraite à 60 ans ou avant </w:t>
      </w:r>
      <w:hyperlink r:id="rId5" w:anchor="footnote1_wqn64p2" w:tooltip="Voir " w:history="1">
        <w:r w:rsidRPr="00AC7081">
          <w:rPr>
            <w:rFonts w:eastAsia="Times New Roman" w:cstheme="minorHAnsi"/>
            <w:color w:val="0000FF"/>
            <w:u w:val="single"/>
            <w:lang w:eastAsia="fr-FR"/>
          </w:rPr>
          <w:t>1</w:t>
        </w:r>
      </w:hyperlink>
      <w:r w:rsidRPr="00AC7081">
        <w:rPr>
          <w:rFonts w:eastAsia="Times New Roman" w:cstheme="minorHAnsi"/>
          <w:lang w:eastAsia="fr-FR"/>
        </w:rPr>
        <w:t>. L’âge idéal de la retraite, pour les Français, reste en moyenne de 60,6 ans, bien que l’âge légal, lui, soit passé de 60 à 62 ans en 2010. Quant à l’âge moyen à partir duquel il n’est plus acceptable de faire travailler les gens, nos compatriotes le fixent à 63,4 ans. On mesure le décalage avec la réforme dans les cartons du gouvernement…</w:t>
      </w:r>
    </w:p>
    <w:p w14:paraId="7768A717"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b/>
          <w:bCs/>
          <w:lang w:eastAsia="fr-FR"/>
        </w:rPr>
        <w:t>Un désir contraint</w:t>
      </w:r>
    </w:p>
    <w:p w14:paraId="04DF0908"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Cette aspiration à ne pas faire de vieux os au boulot est d’ailleurs plus marquée en France que chez nos voisins : en 2020, 63 % des Français âgés de 50 à 64 ans exprimaient le souhait de partir le plus tôt possible, selon l’enquête Share (Survey on </w:t>
      </w:r>
      <w:proofErr w:type="spellStart"/>
      <w:r w:rsidRPr="00AC7081">
        <w:rPr>
          <w:rFonts w:eastAsia="Times New Roman" w:cstheme="minorHAnsi"/>
          <w:lang w:eastAsia="fr-FR"/>
        </w:rPr>
        <w:t>Health</w:t>
      </w:r>
      <w:proofErr w:type="spellEnd"/>
      <w:r w:rsidRPr="00AC7081">
        <w:rPr>
          <w:rFonts w:eastAsia="Times New Roman" w:cstheme="minorHAnsi"/>
          <w:lang w:eastAsia="fr-FR"/>
        </w:rPr>
        <w:t xml:space="preserve">, </w:t>
      </w:r>
      <w:proofErr w:type="spellStart"/>
      <w:r w:rsidRPr="00AC7081">
        <w:rPr>
          <w:rFonts w:eastAsia="Times New Roman" w:cstheme="minorHAnsi"/>
          <w:lang w:eastAsia="fr-FR"/>
        </w:rPr>
        <w:t>Ageing</w:t>
      </w:r>
      <w:proofErr w:type="spellEnd"/>
      <w:r w:rsidRPr="00AC7081">
        <w:rPr>
          <w:rFonts w:eastAsia="Times New Roman" w:cstheme="minorHAnsi"/>
          <w:lang w:eastAsia="fr-FR"/>
        </w:rPr>
        <w:t xml:space="preserve"> and Retirement in Europe), un score six points au-dessus de la moyenne de l’Union européenne </w:t>
      </w:r>
      <w:hyperlink r:id="rId6" w:anchor="footnote2_2gfrj7i" w:tooltip="A la demande d’Alternatives Economiques, résultat issu de la huitième vague de l’enquête Share, par l’équipe Share-France, Laboratoire d’économie de Dauphine (LEDa), université Paris Dauphine-PSL." w:history="1">
        <w:r w:rsidRPr="00AC7081">
          <w:rPr>
            <w:rFonts w:eastAsia="Times New Roman" w:cstheme="minorHAnsi"/>
            <w:color w:val="0000FF"/>
            <w:u w:val="single"/>
            <w:lang w:eastAsia="fr-FR"/>
          </w:rPr>
          <w:t>2</w:t>
        </w:r>
      </w:hyperlink>
      <w:r w:rsidRPr="00AC7081">
        <w:rPr>
          <w:rFonts w:eastAsia="Times New Roman" w:cstheme="minorHAnsi"/>
          <w:lang w:eastAsia="fr-FR"/>
        </w:rPr>
        <w:t>.</w:t>
      </w:r>
    </w:p>
    <w:p w14:paraId="7B6A2C21"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Faut-il en conclure que les Français sont d’indécrottables fainéants ? Non, parce qu’en réalité, ils n’ont pas vraiment le choix. Certes, pour une petite minorité des salariés, travailler plus longtemps ne pose pas de problème. Parce que pour eux, le travail est synonyme de réalisation de soi, d’épanouissement, de valorisation et d’expression personnelle. Ils se sentent utiles au turbin et y ont tissé des liens.</w:t>
      </w:r>
    </w:p>
    <w:p w14:paraId="332BDEFB"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C’est plutôt la retraite, synonyme de vieillesse, qui leur fait peur. Pour l’essentiel, ces accros au boulot sont des cadres, membres des professions intellectuelles et diplômés du supérieur </w:t>
      </w:r>
      <w:hyperlink r:id="rId7" w:anchor="footnote3_kt74z3b" w:history="1">
        <w:r w:rsidRPr="00AC7081">
          <w:rPr>
            <w:rFonts w:eastAsia="Times New Roman" w:cstheme="minorHAnsi"/>
            <w:color w:val="0000FF"/>
            <w:u w:val="single"/>
            <w:lang w:eastAsia="fr-FR"/>
          </w:rPr>
          <w:t>3</w:t>
        </w:r>
      </w:hyperlink>
      <w:r w:rsidRPr="00AC7081">
        <w:rPr>
          <w:rFonts w:eastAsia="Times New Roman" w:cstheme="minorHAnsi"/>
          <w:lang w:eastAsia="fr-FR"/>
        </w:rPr>
        <w:t>. Mais bien plus nombreux, voire majoritaires, sont ceux qui n’ont pas le luxe d’attendre. Ce n’est pas tant qu’ils ne veulent pas travailler plus, mais plutôt qu’ils ne peuvent pas le faire.</w:t>
      </w:r>
    </w:p>
    <w:p w14:paraId="351619BA" w14:textId="77777777" w:rsidR="00F727B6" w:rsidRPr="00AC7081" w:rsidRDefault="00F727B6" w:rsidP="00AC7081">
      <w:pPr>
        <w:spacing w:before="100" w:beforeAutospacing="1" w:after="100" w:afterAutospacing="1" w:line="240" w:lineRule="auto"/>
        <w:jc w:val="both"/>
        <w:outlineLvl w:val="1"/>
        <w:rPr>
          <w:rFonts w:eastAsia="Times New Roman" w:cstheme="minorHAnsi"/>
          <w:b/>
          <w:bCs/>
          <w:lang w:eastAsia="fr-FR"/>
        </w:rPr>
      </w:pPr>
      <w:r w:rsidRPr="00AC7081">
        <w:rPr>
          <w:rFonts w:eastAsia="Times New Roman" w:cstheme="minorHAnsi"/>
          <w:b/>
          <w:bCs/>
          <w:lang w:eastAsia="fr-FR"/>
        </w:rPr>
        <w:t>1/ Parce que les seniors sont déjà évincés du marché du travail</w:t>
      </w:r>
    </w:p>
    <w:p w14:paraId="2BE5C68B"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Pour travailler plus longtemps,</w:t>
      </w:r>
      <w:r w:rsidRPr="00AC7081">
        <w:rPr>
          <w:rFonts w:eastAsia="Times New Roman" w:cstheme="minorHAnsi"/>
          <w:lang w:eastAsia="fr-FR"/>
        </w:rPr>
        <w:t xml:space="preserve"> </w:t>
      </w:r>
      <w:r w:rsidRPr="00AC7081">
        <w:rPr>
          <w:rFonts w:eastAsia="Times New Roman" w:cstheme="minorHAnsi"/>
          <w:i/>
          <w:iCs/>
          <w:lang w:eastAsia="fr-FR"/>
        </w:rPr>
        <w:t>il faut déjà… travailler ! »</w:t>
      </w:r>
      <w:r w:rsidRPr="00AC7081">
        <w:rPr>
          <w:rFonts w:eastAsia="Times New Roman" w:cstheme="minorHAnsi"/>
          <w:lang w:eastAsia="fr-FR"/>
        </w:rPr>
        <w:t xml:space="preserve">, pointe Serge Volkoff, statisticien et ergonome au Centre d’études de l’emploi et du travail (CEET) du Cnam. Et d’ajouter : </w:t>
      </w:r>
      <w:r w:rsidRPr="00AC7081">
        <w:rPr>
          <w:rFonts w:eastAsia="Times New Roman" w:cstheme="minorHAnsi"/>
          <w:i/>
          <w:iCs/>
          <w:lang w:eastAsia="fr-FR"/>
        </w:rPr>
        <w:t>« L’âge moyen de cessation définitive d’emploi est nettement plus précoce que celui d’accès aux pensions de retraite, l’écart est de près de deux ans. »</w:t>
      </w:r>
    </w:p>
    <w:p w14:paraId="28FE9166"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Car entre le travail et la retraite, la transition n’est pas forcément linéaire. Il existe pour de nombreux Français une zone grise, plus ou moins longue, sorte de salle d’attente inconfortable où ils ne sont ni en emploi ni à la retraite. C’était le cas de près de 16,7 % des personnes âgées de 62 ans en 2021, dont 3 % étaient au chômage et 13,7 % en inactivité et dépendant essentiellement du RSA, d’une pension d’invalidité ou du revenu de leur conjoint.</w:t>
      </w:r>
    </w:p>
    <w:p w14:paraId="491CB3CC"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lang w:eastAsia="fr-FR"/>
        </w:rPr>
        <w:lastRenderedPageBreak/>
        <w:t>Entre 50 et 67 ans, il peut se passer beaucoup de choses. Et de fait, dans cette tranche d’âge, les parcours sans embûche directement de l’emploi à la retraite ne concernent que 60 % des personnes nées en 1950</w:t>
      </w:r>
    </w:p>
    <w:p w14:paraId="6D2A665C"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Mais capter une photo à un instant T ne suffit pas à prendre la mesure du phénomène, car on a du mal à appréhender les trajectoires des individus. Entre 50 et 67 ans, il peut se passer beaucoup de choses. Et de fait, dans cette tranche d’âge, les parcours sans embûche directement de l’emploi à la retraite ne concernent que 60 % des personnes nées en 1950.</w:t>
      </w:r>
    </w:p>
    <w:p w14:paraId="0EA5BBAE"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Ce qui veut dire que 40 % des assurés ont passé au moins un an dans cette salle d’attente du « ni </w:t>
      </w:r>
      <w:proofErr w:type="spellStart"/>
      <w:r w:rsidRPr="00AC7081">
        <w:rPr>
          <w:rFonts w:eastAsia="Times New Roman" w:cstheme="minorHAnsi"/>
          <w:lang w:eastAsia="fr-FR"/>
        </w:rPr>
        <w:t>ni</w:t>
      </w:r>
      <w:proofErr w:type="spellEnd"/>
      <w:r w:rsidRPr="00AC7081">
        <w:rPr>
          <w:rFonts w:eastAsia="Times New Roman" w:cstheme="minorHAnsi"/>
          <w:lang w:eastAsia="fr-FR"/>
        </w:rPr>
        <w:t> », c’est-à-dire ni en emploi ni en retraite. Dans 7 % des cas, c’est une période de chômage qui a précédé la retraite. Dans 3 % des cas, il s’agit d’un arrêt maladie ou invalidité. Et pour les 30 % restants, il s’agit de trajectoires plus compliquées avec plusieurs allers-retours entre emploi, chômage, inactivité et retraite.</w:t>
      </w:r>
    </w:p>
    <w:p w14:paraId="071DB730"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b/>
          <w:bCs/>
          <w:lang w:eastAsia="fr-FR"/>
        </w:rPr>
        <w:t>Dans le « sas de précarité »</w:t>
      </w:r>
    </w:p>
    <w:p w14:paraId="1A097007"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Evidemment, pour ces « ni </w:t>
      </w:r>
      <w:proofErr w:type="spellStart"/>
      <w:r w:rsidRPr="00AC7081">
        <w:rPr>
          <w:rFonts w:eastAsia="Times New Roman" w:cstheme="minorHAnsi"/>
          <w:lang w:eastAsia="fr-FR"/>
        </w:rPr>
        <w:t>ni</w:t>
      </w:r>
      <w:proofErr w:type="spellEnd"/>
      <w:r w:rsidRPr="00AC7081">
        <w:rPr>
          <w:rFonts w:eastAsia="Times New Roman" w:cstheme="minorHAnsi"/>
          <w:lang w:eastAsia="fr-FR"/>
        </w:rPr>
        <w:t> », le report de l’âge de départ n’est pas une bonne nouvelle. C’est ce qu’a mis en évidence l’économiste Michaël Zemmour, en se penchant sur les effets du passage à 62 ans</w:t>
      </w:r>
      <w:hyperlink r:id="rId8" w:anchor="footnote4_kbekd8o" w:history="1">
        <w:r w:rsidRPr="00AC7081">
          <w:rPr>
            <w:rFonts w:eastAsia="Times New Roman" w:cstheme="minorHAnsi"/>
            <w:color w:val="0000FF"/>
            <w:u w:val="single"/>
            <w:lang w:eastAsia="fr-FR"/>
          </w:rPr>
          <w:t>4</w:t>
        </w:r>
      </w:hyperlink>
      <w:r w:rsidRPr="00AC7081">
        <w:rPr>
          <w:rFonts w:eastAsia="Times New Roman" w:cstheme="minorHAnsi"/>
          <w:lang w:eastAsia="fr-FR"/>
        </w:rPr>
        <w:t>. Certes, la réforme de 2010 est parvenue à augmenter de 20 points le taux d’emploi des 60-61 ans, mais</w:t>
      </w:r>
      <w:r w:rsidRPr="00AC7081">
        <w:rPr>
          <w:rFonts w:eastAsia="Times New Roman" w:cstheme="minorHAnsi"/>
          <w:i/>
          <w:iCs/>
          <w:lang w:eastAsia="fr-FR"/>
        </w:rPr>
        <w:t xml:space="preserve"> « au prix social élevé d’un allongement du “sas de précarité” entre emploi et retraite »</w:t>
      </w:r>
      <w:r w:rsidRPr="00AC7081">
        <w:rPr>
          <w:rFonts w:eastAsia="Times New Roman" w:cstheme="minorHAnsi"/>
          <w:lang w:eastAsia="fr-FR"/>
        </w:rPr>
        <w:t>, explique-t-il.</w:t>
      </w:r>
    </w:p>
    <w:p w14:paraId="771B69DF"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Chez les ouvriers, notamment, la réforme s’est traduite par une hausse du taux de personnes ni en emploi ni en retraite de 16 points entre 60 et 61 ans, malgré le dispositif carrière longue qui concerne plutôt ces catégories-là. Résultat : en 2019, à 61 ans, le taux d’emploi des ouvriers est de 28 %, tandis que le taux des ouvriers « ni </w:t>
      </w:r>
      <w:proofErr w:type="spellStart"/>
      <w:r w:rsidRPr="00AC7081">
        <w:rPr>
          <w:rFonts w:eastAsia="Times New Roman" w:cstheme="minorHAnsi"/>
          <w:lang w:eastAsia="fr-FR"/>
        </w:rPr>
        <w:t>ni</w:t>
      </w:r>
      <w:proofErr w:type="spellEnd"/>
      <w:r w:rsidRPr="00AC7081">
        <w:rPr>
          <w:rFonts w:eastAsia="Times New Roman" w:cstheme="minorHAnsi"/>
          <w:lang w:eastAsia="fr-FR"/>
        </w:rPr>
        <w:t> » est de 35 %. Autre enseignement : il ne s’agit pas seulement d’un décalage du « sas de précarité », mais bien d’un allongement de celui-ci.</w:t>
      </w:r>
    </w:p>
    <w:p w14:paraId="71B98C17"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Si ces personnes ne sont plus en emploi, c’est souvent pour des problèmes de santé, ou alors parce qu’elles ont été licenciées suite à un problème de santé. Elles se retrouvent soit en invalidité, soit au RSA dans une situation sociale très compliquée,</w:t>
      </w:r>
      <w:r w:rsidRPr="00AC7081">
        <w:rPr>
          <w:rFonts w:eastAsia="Times New Roman" w:cstheme="minorHAnsi"/>
          <w:lang w:eastAsia="fr-FR"/>
        </w:rPr>
        <w:t xml:space="preserve"> commente François Desriaux, rédacteur en chef du magazine </w:t>
      </w:r>
      <w:r w:rsidRPr="00AC7081">
        <w:rPr>
          <w:rFonts w:eastAsia="Times New Roman" w:cstheme="minorHAnsi"/>
          <w:i/>
          <w:iCs/>
          <w:lang w:eastAsia="fr-FR"/>
        </w:rPr>
        <w:t>Santé &amp; travail. Pour eux, reculer l’âge de départ, c’est les laisser dans une paupérisation croissante, avec la perspective de toucher une retraite plus faible puisqu’ils auront moins cotisé. »</w:t>
      </w:r>
    </w:p>
    <w:p w14:paraId="764046C3"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Selon la Drees, le taux de pauvreté des seniors ni en emploi ni en retraite atteint en effet 32 %, contre 7 % pour les seniors en emploi ou à la retraite</w:t>
      </w:r>
      <w:hyperlink r:id="rId9" w:anchor="footnote5_6t3qbfl" w:history="1">
        <w:r w:rsidRPr="00AC7081">
          <w:rPr>
            <w:rFonts w:eastAsia="Times New Roman" w:cstheme="minorHAnsi"/>
            <w:color w:val="0000FF"/>
            <w:u w:val="single"/>
            <w:lang w:eastAsia="fr-FR"/>
          </w:rPr>
          <w:t>5</w:t>
        </w:r>
      </w:hyperlink>
      <w:r w:rsidRPr="00AC7081">
        <w:rPr>
          <w:rFonts w:eastAsia="Times New Roman" w:cstheme="minorHAnsi"/>
          <w:lang w:eastAsia="fr-FR"/>
        </w:rPr>
        <w:t>.</w:t>
      </w:r>
    </w:p>
    <w:p w14:paraId="1AE7A326"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Et ceux d’entre eux qui pointent à Pôle emploi vont être pris en tenaille entre la nouvelle réforme de l’assurance chômage et celle des retraites. Les durées d’indemnisation pour les chômeurs âgés ont d’ailleurs déjà été sévèrement réduites, passant de </w:t>
      </w:r>
      <w:proofErr w:type="gramStart"/>
      <w:r w:rsidRPr="00AC7081">
        <w:rPr>
          <w:rFonts w:eastAsia="Times New Roman" w:cstheme="minorHAnsi"/>
          <w:lang w:eastAsia="fr-FR"/>
        </w:rPr>
        <w:t>soixante mois maximum</w:t>
      </w:r>
      <w:proofErr w:type="gramEnd"/>
      <w:r w:rsidRPr="00AC7081">
        <w:rPr>
          <w:rFonts w:eastAsia="Times New Roman" w:cstheme="minorHAnsi"/>
          <w:lang w:eastAsia="fr-FR"/>
        </w:rPr>
        <w:t xml:space="preserve"> avant 2002 à trente-six mois maximum aujourd’hui.</w:t>
      </w:r>
    </w:p>
    <w:p w14:paraId="436AA978"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xml:space="preserve">« Quand on perd son emploi après 55 ans, l’assurance chômage ne permet pas forcément d’être indemnisé jusqu’à la retraite, ce qui crée des poches de pauvreté, </w:t>
      </w:r>
      <w:r w:rsidRPr="00AC7081">
        <w:rPr>
          <w:rFonts w:eastAsia="Times New Roman" w:cstheme="minorHAnsi"/>
          <w:lang w:eastAsia="fr-FR"/>
        </w:rPr>
        <w:t xml:space="preserve">estime Annie Jolivet, chercheuse au CEET. </w:t>
      </w:r>
      <w:r w:rsidRPr="00AC7081">
        <w:rPr>
          <w:rFonts w:eastAsia="Times New Roman" w:cstheme="minorHAnsi"/>
          <w:i/>
          <w:iCs/>
          <w:lang w:eastAsia="fr-FR"/>
        </w:rPr>
        <w:t>On est en train de faire de l’assurance chômage un instrument d’incitation à retrouver du travail, alors que de nombreuses études ont montré que s’il n’y a pas d’emploi, ça ne sert à rien de réduire les droits à indemnisation. »</w:t>
      </w:r>
      <w:r w:rsidRPr="00AC7081">
        <w:rPr>
          <w:rFonts w:eastAsia="Times New Roman" w:cstheme="minorHAnsi"/>
          <w:lang w:eastAsia="fr-FR"/>
        </w:rPr>
        <w:t xml:space="preserve"> Et pour les seniors, l’emploi reste une denrée rare…</w:t>
      </w:r>
    </w:p>
    <w:p w14:paraId="6DF43110" w14:textId="77777777" w:rsidR="00F727B6" w:rsidRPr="00AC7081" w:rsidRDefault="00F727B6" w:rsidP="00AC7081">
      <w:pPr>
        <w:spacing w:before="100" w:beforeAutospacing="1" w:after="100" w:afterAutospacing="1" w:line="240" w:lineRule="auto"/>
        <w:jc w:val="both"/>
        <w:outlineLvl w:val="1"/>
        <w:rPr>
          <w:rFonts w:eastAsia="Times New Roman" w:cstheme="minorHAnsi"/>
          <w:b/>
          <w:bCs/>
          <w:lang w:eastAsia="fr-FR"/>
        </w:rPr>
      </w:pPr>
      <w:r w:rsidRPr="00AC7081">
        <w:rPr>
          <w:rFonts w:eastAsia="Times New Roman" w:cstheme="minorHAnsi"/>
          <w:b/>
          <w:bCs/>
          <w:lang w:eastAsia="fr-FR"/>
        </w:rPr>
        <w:t>2/ Parce que les entreprises ne veulent plus d’eux</w:t>
      </w:r>
    </w:p>
    <w:p w14:paraId="4C0B3629"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Les Français ne sont pas en cause.</w:t>
      </w:r>
      <w:r w:rsidRPr="00AC7081">
        <w:rPr>
          <w:rFonts w:eastAsia="Times New Roman" w:cstheme="minorHAnsi"/>
          <w:lang w:eastAsia="fr-FR"/>
        </w:rPr>
        <w:t xml:space="preserve"> </w:t>
      </w:r>
      <w:r w:rsidRPr="00AC7081">
        <w:rPr>
          <w:rFonts w:eastAsia="Times New Roman" w:cstheme="minorHAnsi"/>
          <w:i/>
          <w:iCs/>
          <w:lang w:eastAsia="fr-FR"/>
        </w:rPr>
        <w:t>Ce ne sont pas eux qui ne veulent pas travailler plus longtemps, c’est l’horizon en emploi qui pose question, notamment pour les seniors »</w:t>
      </w:r>
      <w:r w:rsidRPr="00AC7081">
        <w:rPr>
          <w:rFonts w:eastAsia="Times New Roman" w:cstheme="minorHAnsi"/>
          <w:lang w:eastAsia="fr-FR"/>
        </w:rPr>
        <w:t xml:space="preserve">, juge la sociologue Anne-Marie </w:t>
      </w:r>
      <w:proofErr w:type="spellStart"/>
      <w:r w:rsidRPr="00AC7081">
        <w:rPr>
          <w:rFonts w:eastAsia="Times New Roman" w:cstheme="minorHAnsi"/>
          <w:lang w:eastAsia="fr-FR"/>
        </w:rPr>
        <w:t>Guillemard</w:t>
      </w:r>
      <w:proofErr w:type="spellEnd"/>
      <w:r w:rsidRPr="00AC7081">
        <w:rPr>
          <w:rFonts w:eastAsia="Times New Roman" w:cstheme="minorHAnsi"/>
          <w:lang w:eastAsia="fr-FR"/>
        </w:rPr>
        <w:t>.</w:t>
      </w:r>
    </w:p>
    <w:p w14:paraId="6529ACC4"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Certes, le taux d’emploi des 55-64 ans a augmenté en France ces dernières années, passant de 34 % en 2002 à 56 % en 2021. Mais l’Hexagone reste sous la moyenne européenne (60,5 %). C’est principalement le taux d’emploi des plus de 60 ans qui est faible : 35,5 %, contre 46,4 % au sein de l’Union européenne.</w:t>
      </w:r>
    </w:p>
    <w:p w14:paraId="0AD5CE4C"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xml:space="preserve">« L’âge de départ bouge, mais à coups de mesures négatives, </w:t>
      </w:r>
      <w:r w:rsidRPr="00AC7081">
        <w:rPr>
          <w:rFonts w:eastAsia="Times New Roman" w:cstheme="minorHAnsi"/>
          <w:lang w:eastAsia="fr-FR"/>
        </w:rPr>
        <w:t xml:space="preserve">estime le politologue Bruno Palier. </w:t>
      </w:r>
      <w:r w:rsidRPr="00AC7081">
        <w:rPr>
          <w:rFonts w:eastAsia="Times New Roman" w:cstheme="minorHAnsi"/>
          <w:i/>
          <w:iCs/>
          <w:lang w:eastAsia="fr-FR"/>
        </w:rPr>
        <w:t>Les gens sont partis un peu plus tard, mais pas dans la joie ni la bonne humeur, et de façon très inégalitaire. »</w:t>
      </w:r>
    </w:p>
    <w:p w14:paraId="4757ED16"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lastRenderedPageBreak/>
        <w:t>Une manière de s’en convaincre est de décomposer le taux d’emploi par niveau de diplôme : en 2021, seuls 25 % des 60-64 ans sans diplôme étaient en emploi, contre 53 % des diplômés de l’enseignement supérieur. Dit autrement, plus on avance en âge, moins on a de chances d’avoir un emploi, surtout si l’on n’a pas décroché de titres scolaires.</w:t>
      </w:r>
    </w:p>
    <w:p w14:paraId="132F36AB"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Ces non-</w:t>
      </w:r>
      <w:r w:rsidRPr="00AC7081">
        <w:rPr>
          <w:rFonts w:eastAsia="Times New Roman" w:cstheme="minorHAnsi"/>
          <w:lang w:eastAsia="fr-FR"/>
        </w:rPr>
        <w:softHyphen/>
        <w:t>diplômés seront doublement pénalisés par la réforme : n’ayant pas fait d’études, ils ont commencé à travailler plus tôt et cotiseront davantage que les autres ; mais c’est aussi pour eux que la fin de carrière sera la plus aléatoire et la probabilité de tomber dans la précarité la plus élevée.</w:t>
      </w:r>
    </w:p>
    <w:p w14:paraId="1550F126"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b/>
          <w:bCs/>
          <w:lang w:eastAsia="fr-FR"/>
        </w:rPr>
        <w:t>« Une culture de la sortie précoce »</w:t>
      </w:r>
    </w:p>
    <w:p w14:paraId="5D400D07"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On a raté la prolongation de l’activité des seniors,</w:t>
      </w:r>
      <w:r w:rsidRPr="00AC7081">
        <w:rPr>
          <w:rFonts w:eastAsia="Times New Roman" w:cstheme="minorHAnsi"/>
          <w:lang w:eastAsia="fr-FR"/>
        </w:rPr>
        <w:t xml:space="preserve"> estime Anne-Marie </w:t>
      </w:r>
      <w:proofErr w:type="spellStart"/>
      <w:r w:rsidRPr="00AC7081">
        <w:rPr>
          <w:rFonts w:eastAsia="Times New Roman" w:cstheme="minorHAnsi"/>
          <w:lang w:eastAsia="fr-FR"/>
        </w:rPr>
        <w:t>Guillemard</w:t>
      </w:r>
      <w:proofErr w:type="spellEnd"/>
      <w:r w:rsidRPr="00AC7081">
        <w:rPr>
          <w:rFonts w:eastAsia="Times New Roman" w:cstheme="minorHAnsi"/>
          <w:lang w:eastAsia="fr-FR"/>
        </w:rPr>
        <w:t xml:space="preserve">. </w:t>
      </w:r>
      <w:r w:rsidRPr="00AC7081">
        <w:rPr>
          <w:rFonts w:eastAsia="Times New Roman" w:cstheme="minorHAnsi"/>
          <w:i/>
          <w:iCs/>
          <w:lang w:eastAsia="fr-FR"/>
        </w:rPr>
        <w:t>La France reste dans une culture de la sortie précoce. »</w:t>
      </w:r>
      <w:r w:rsidRPr="00AC7081">
        <w:rPr>
          <w:rFonts w:eastAsia="Times New Roman" w:cstheme="minorHAnsi"/>
          <w:lang w:eastAsia="fr-FR"/>
        </w:rPr>
        <w:t xml:space="preserve"> Dans les années 1980, les pouvoirs publics ont mis en place des dispositifs avantageux de préretraite, qui ont permis aux personnes licenciées de sortir dans de bonnes conditions du marché du travail. Un système dont ont largement bénéficié des secteurs comme la chimie, le textile ou la sidérurgie, frappés de plein fouet par la désindustrialisation.</w:t>
      </w:r>
    </w:p>
    <w:p w14:paraId="7D40B7A8"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lang w:eastAsia="fr-FR"/>
        </w:rPr>
        <w:t>Une fois dehors, les seniors ont très peu de chances de retrouver un nouveau boulot</w:t>
      </w:r>
    </w:p>
    <w:p w14:paraId="36D29A5F"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Ces dispositifs publics ont été progressivement supprimés, mais laissent des traces profondes : </w:t>
      </w:r>
      <w:r w:rsidRPr="00AC7081">
        <w:rPr>
          <w:rFonts w:eastAsia="Times New Roman" w:cstheme="minorHAnsi"/>
          <w:i/>
          <w:iCs/>
          <w:lang w:eastAsia="fr-FR"/>
        </w:rPr>
        <w:t>« Trente ans de préretraites ont modelé la question de l’emploi des seniors »</w:t>
      </w:r>
      <w:r w:rsidRPr="00AC7081">
        <w:rPr>
          <w:rFonts w:eastAsia="Times New Roman" w:cstheme="minorHAnsi"/>
          <w:lang w:eastAsia="fr-FR"/>
        </w:rPr>
        <w:t xml:space="preserve">, explique Annie Jolivet. </w:t>
      </w:r>
      <w:r w:rsidRPr="00AC7081">
        <w:rPr>
          <w:rFonts w:eastAsia="Times New Roman" w:cstheme="minorHAnsi"/>
          <w:i/>
          <w:iCs/>
          <w:lang w:eastAsia="fr-FR"/>
        </w:rPr>
        <w:t>« Les employeurs n’ont pas envie et pas besoin de garder les seniors très longtemps, soit parce qu’ils coûtent trop cher, soit parce qu’ils ne sont pas jugés assez productifs »</w:t>
      </w:r>
      <w:r w:rsidRPr="00AC7081">
        <w:rPr>
          <w:rFonts w:eastAsia="Times New Roman" w:cstheme="minorHAnsi"/>
          <w:lang w:eastAsia="fr-FR"/>
        </w:rPr>
        <w:t>, abonde Catherine Perret, secrétaire confédérale de la CGT en charge des retraites.</w:t>
      </w:r>
    </w:p>
    <w:p w14:paraId="48790F8B"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b/>
          <w:bCs/>
          <w:lang w:eastAsia="fr-FR"/>
        </w:rPr>
        <w:t>« Chasse aux seniors »</w:t>
      </w:r>
    </w:p>
    <w:p w14:paraId="675629F3"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Aujourd’hui, les entreprises continuent à pousser les salariés âgés vers la sortie, via d’autres dispositifs qui ont pris le relais, que ce soient les plans de départ volontaire ou les ruptures conventionnelles en fin de carrière.</w:t>
      </w:r>
    </w:p>
    <w:p w14:paraId="6F94430A"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C’est la conséquence de la stratégie d’</w:t>
      </w:r>
      <w:proofErr w:type="spellStart"/>
      <w:r w:rsidRPr="00AC7081">
        <w:rPr>
          <w:rFonts w:eastAsia="Times New Roman" w:cstheme="minorHAnsi"/>
          <w:i/>
          <w:iCs/>
          <w:lang w:eastAsia="fr-FR"/>
        </w:rPr>
        <w:t>hyperproductivité</w:t>
      </w:r>
      <w:proofErr w:type="spellEnd"/>
      <w:r w:rsidRPr="00AC7081">
        <w:rPr>
          <w:rFonts w:eastAsia="Times New Roman" w:cstheme="minorHAnsi"/>
          <w:i/>
          <w:iCs/>
          <w:lang w:eastAsia="fr-FR"/>
        </w:rPr>
        <w:t xml:space="preserve"> retenue par de nombreuses entreprises françaises,</w:t>
      </w:r>
      <w:r w:rsidRPr="00AC7081">
        <w:rPr>
          <w:rFonts w:eastAsia="Times New Roman" w:cstheme="minorHAnsi"/>
          <w:lang w:eastAsia="fr-FR"/>
        </w:rPr>
        <w:t xml:space="preserve"> souligne Bruno Palier.</w:t>
      </w:r>
      <w:r w:rsidRPr="00AC7081">
        <w:rPr>
          <w:rFonts w:eastAsia="Times New Roman" w:cstheme="minorHAnsi"/>
          <w:i/>
          <w:iCs/>
          <w:lang w:eastAsia="fr-FR"/>
        </w:rPr>
        <w:t xml:space="preserve"> Pour rester compétitives dans une économie mondialisée, elles ont choisi de ne garder que les salariés les plus productifs, et de leur demander de travailler toujours plus intensément. »</w:t>
      </w:r>
    </w:p>
    <w:p w14:paraId="25DCC8D3"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Et le phénomène ne touche pas que les ouvriers. Les cadres grisonnants sont, eux aussi, dans le viseur des employeurs : un cadre sur quatre en fin de carrière se sent menacé par un licenciement, révèle une étude de l’Apec</w:t>
      </w:r>
      <w:hyperlink r:id="rId10" w:anchor="footnote6_5ucw3he" w:history="1">
        <w:r w:rsidRPr="00AC7081">
          <w:rPr>
            <w:rFonts w:eastAsia="Times New Roman" w:cstheme="minorHAnsi"/>
            <w:color w:val="0000FF"/>
            <w:u w:val="single"/>
            <w:lang w:eastAsia="fr-FR"/>
          </w:rPr>
          <w:t>6</w:t>
        </w:r>
      </w:hyperlink>
      <w:r w:rsidRPr="00AC7081">
        <w:rPr>
          <w:rFonts w:eastAsia="Times New Roman" w:cstheme="minorHAnsi"/>
          <w:i/>
          <w:iCs/>
          <w:lang w:eastAsia="fr-FR"/>
        </w:rPr>
        <w:t>. « Les seniors ont l’impression d’être sur un siège éjectable,</w:t>
      </w:r>
      <w:r w:rsidRPr="00AC7081">
        <w:rPr>
          <w:rFonts w:eastAsia="Times New Roman" w:cstheme="minorHAnsi"/>
          <w:lang w:eastAsia="fr-FR"/>
        </w:rPr>
        <w:t xml:space="preserve"> déplore Anne-Marie </w:t>
      </w:r>
      <w:proofErr w:type="spellStart"/>
      <w:r w:rsidRPr="00AC7081">
        <w:rPr>
          <w:rFonts w:eastAsia="Times New Roman" w:cstheme="minorHAnsi"/>
          <w:lang w:eastAsia="fr-FR"/>
        </w:rPr>
        <w:t>Guillemard</w:t>
      </w:r>
      <w:proofErr w:type="spellEnd"/>
      <w:r w:rsidRPr="00AC7081">
        <w:rPr>
          <w:rFonts w:eastAsia="Times New Roman" w:cstheme="minorHAnsi"/>
          <w:lang w:eastAsia="fr-FR"/>
        </w:rPr>
        <w:t xml:space="preserve">. </w:t>
      </w:r>
      <w:r w:rsidRPr="00AC7081">
        <w:rPr>
          <w:rFonts w:eastAsia="Times New Roman" w:cstheme="minorHAnsi"/>
          <w:i/>
          <w:iCs/>
          <w:lang w:eastAsia="fr-FR"/>
        </w:rPr>
        <w:t>On a, en France, une précarité en début et en fin de carrière, ce n’est pas très glorieux. »</w:t>
      </w:r>
    </w:p>
    <w:p w14:paraId="2211199A"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En 2008, un rapport de la Caisse nationale d’assurance vieillesse</w:t>
      </w:r>
      <w:hyperlink r:id="rId11" w:anchor="footnote7_benlzjf" w:history="1">
        <w:r w:rsidRPr="00AC7081">
          <w:rPr>
            <w:rFonts w:eastAsia="Times New Roman" w:cstheme="minorHAnsi"/>
            <w:color w:val="0000FF"/>
            <w:u w:val="single"/>
            <w:lang w:eastAsia="fr-FR"/>
          </w:rPr>
          <w:t>7</w:t>
        </w:r>
      </w:hyperlink>
      <w:r w:rsidRPr="00AC7081">
        <w:rPr>
          <w:rFonts w:eastAsia="Times New Roman" w:cstheme="minorHAnsi"/>
          <w:lang w:eastAsia="fr-FR"/>
        </w:rPr>
        <w:t xml:space="preserve"> parlait même d’une véritable </w:t>
      </w:r>
      <w:r w:rsidRPr="00AC7081">
        <w:rPr>
          <w:rFonts w:eastAsia="Times New Roman" w:cstheme="minorHAnsi"/>
          <w:i/>
          <w:iCs/>
          <w:lang w:eastAsia="fr-FR"/>
        </w:rPr>
        <w:t>« chasse aux seniors »</w:t>
      </w:r>
      <w:r w:rsidRPr="00AC7081">
        <w:rPr>
          <w:rFonts w:eastAsia="Times New Roman" w:cstheme="minorHAnsi"/>
          <w:lang w:eastAsia="fr-FR"/>
        </w:rPr>
        <w:t xml:space="preserve"> dans les entreprises, et cela </w:t>
      </w:r>
      <w:r w:rsidRPr="00AC7081">
        <w:rPr>
          <w:rFonts w:eastAsia="Times New Roman" w:cstheme="minorHAnsi"/>
          <w:i/>
          <w:iCs/>
          <w:lang w:eastAsia="fr-FR"/>
        </w:rPr>
        <w:t>« dans tous les secteurs professionnels »</w:t>
      </w:r>
      <w:r w:rsidRPr="00AC7081">
        <w:rPr>
          <w:rFonts w:eastAsia="Times New Roman" w:cstheme="minorHAnsi"/>
          <w:lang w:eastAsia="fr-FR"/>
        </w:rPr>
        <w:t> : suppression de postes, mutation dans des lieux de travail plus contraignants, affectation des seniors à des tâches dégradantes ou inintéressantes, incitation à quitter l’entreprise et à liquider sa retraite…</w:t>
      </w:r>
    </w:p>
    <w:p w14:paraId="050FDF59"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Dix ans plus tard, en 2018, France Stratégie</w:t>
      </w:r>
      <w:hyperlink r:id="rId12" w:anchor="footnote8_nchzdl0" w:history="1">
        <w:r w:rsidRPr="00AC7081">
          <w:rPr>
            <w:rFonts w:eastAsia="Times New Roman" w:cstheme="minorHAnsi"/>
            <w:color w:val="0000FF"/>
            <w:u w:val="single"/>
            <w:lang w:eastAsia="fr-FR"/>
          </w:rPr>
          <w:t>8</w:t>
        </w:r>
      </w:hyperlink>
      <w:r w:rsidRPr="00AC7081">
        <w:rPr>
          <w:rFonts w:eastAsia="Times New Roman" w:cstheme="minorHAnsi"/>
          <w:lang w:eastAsia="fr-FR"/>
        </w:rPr>
        <w:t xml:space="preserve"> pointait également </w:t>
      </w:r>
      <w:r w:rsidRPr="00AC7081">
        <w:rPr>
          <w:rFonts w:eastAsia="Times New Roman" w:cstheme="minorHAnsi"/>
          <w:i/>
          <w:iCs/>
          <w:lang w:eastAsia="fr-FR"/>
        </w:rPr>
        <w:t>« le poids des représentations négatives liées à l’âge » :</w:t>
      </w:r>
    </w:p>
    <w:p w14:paraId="4CF807DD"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L’espérance de vie augmente, mais les stéréotypes demeurent. L’âge constitue ainsi, avec le sexe, le premier motif déclaré des expériences de discrimination liées au travail, loin devant l’origine ethnique. »</w:t>
      </w:r>
    </w:p>
    <w:p w14:paraId="62527B68"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b/>
          <w:bCs/>
          <w:lang w:eastAsia="fr-FR"/>
        </w:rPr>
        <w:t>Au chômage de longue durée</w:t>
      </w:r>
    </w:p>
    <w:p w14:paraId="1155219F"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Une fois dehors, les seniors ont très peu de chances de retrouver un nouveau boulot, comme en témoigne le taux de sortie de Pôle emploi, qui décroît avec l’âge : 7,8 % des moins de 25 ans inscrits à Pôle emploi en août 2020 trouvent un emploi le mois suivant, contre 4,6 % pour les 25-49 ans et 2 % pour les plus de 50 ans. </w:t>
      </w:r>
      <w:r w:rsidRPr="00AC7081">
        <w:rPr>
          <w:rFonts w:eastAsia="Times New Roman" w:cstheme="minorHAnsi"/>
          <w:i/>
          <w:iCs/>
          <w:lang w:eastAsia="fr-FR"/>
        </w:rPr>
        <w:t>« De fait, la probabilité de reprendre un emploi après un épisode de chômage est moitié plus faible pour les seniors que pour les 25-54 ans »</w:t>
      </w:r>
      <w:r w:rsidRPr="00AC7081">
        <w:rPr>
          <w:rFonts w:eastAsia="Times New Roman" w:cstheme="minorHAnsi"/>
          <w:lang w:eastAsia="fr-FR"/>
        </w:rPr>
        <w:t>, insiste la Direction générale du Trésor</w:t>
      </w:r>
      <w:hyperlink r:id="rId13" w:anchor="footnote9_ginb3fs" w:history="1">
        <w:r w:rsidRPr="00AC7081">
          <w:rPr>
            <w:rFonts w:eastAsia="Times New Roman" w:cstheme="minorHAnsi"/>
            <w:color w:val="0000FF"/>
            <w:u w:val="single"/>
            <w:lang w:eastAsia="fr-FR"/>
          </w:rPr>
          <w:t>9</w:t>
        </w:r>
      </w:hyperlink>
      <w:r w:rsidRPr="00AC7081">
        <w:rPr>
          <w:rFonts w:eastAsia="Times New Roman" w:cstheme="minorHAnsi"/>
          <w:lang w:eastAsia="fr-FR"/>
        </w:rPr>
        <w:t>.</w:t>
      </w:r>
    </w:p>
    <w:p w14:paraId="09F78644"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lastRenderedPageBreak/>
        <w:t>Autre indicateur éclairant : en 2018, la part des chômeurs de longue durée chez les chômeurs de plus de 55 ans est de 60 %, contre 42 % pour l’ensemble. Et, là encore, c’est un mal typiquement français : une étude menée en 2015 en Europe a montré que 75 % des managers français pensaient qu’avoir plus de 55 ans désavantageait un candidat, contre 60 % en moyenne dans l’Union européenne</w:t>
      </w:r>
      <w:hyperlink r:id="rId14" w:anchor="footnote10_4l5y88k" w:tooltip=" Eurobarometer (2015), " w:history="1">
        <w:r w:rsidRPr="00AC7081">
          <w:rPr>
            <w:rFonts w:eastAsia="Times New Roman" w:cstheme="minorHAnsi"/>
            <w:color w:val="0000FF"/>
            <w:u w:val="single"/>
            <w:lang w:eastAsia="fr-FR"/>
          </w:rPr>
          <w:t>10</w:t>
        </w:r>
      </w:hyperlink>
      <w:r w:rsidRPr="00AC7081">
        <w:rPr>
          <w:rFonts w:eastAsia="Times New Roman" w:cstheme="minorHAnsi"/>
          <w:lang w:eastAsia="fr-FR"/>
        </w:rPr>
        <w:t>.</w:t>
      </w:r>
    </w:p>
    <w:p w14:paraId="77E68656"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Il n’y a pourtant pas de fatalité, rappelle Anne-Marie </w:t>
      </w:r>
      <w:proofErr w:type="spellStart"/>
      <w:r w:rsidRPr="00AC7081">
        <w:rPr>
          <w:rFonts w:eastAsia="Times New Roman" w:cstheme="minorHAnsi"/>
          <w:lang w:eastAsia="fr-FR"/>
        </w:rPr>
        <w:t>Guillemard</w:t>
      </w:r>
      <w:proofErr w:type="spellEnd"/>
      <w:r w:rsidRPr="00AC7081">
        <w:rPr>
          <w:rFonts w:eastAsia="Times New Roman" w:cstheme="minorHAnsi"/>
          <w:lang w:eastAsia="fr-FR"/>
        </w:rPr>
        <w:t xml:space="preserve"> : </w:t>
      </w:r>
      <w:r w:rsidRPr="00AC7081">
        <w:rPr>
          <w:rFonts w:eastAsia="Times New Roman" w:cstheme="minorHAnsi"/>
          <w:i/>
          <w:iCs/>
          <w:lang w:eastAsia="fr-FR"/>
        </w:rPr>
        <w:t>« Il faut apprendre aux entreprises à manager les seniors. L’exemple de la Finlande nous montre que c’est possible. Ils ont très tôt mis en place des politiques actives du marché du travail pour accompagner les entreprises dans ce changement. Avec des résultats impressionnants : l’âge de sortie effective du marché du travail est passé de 58 ans en 1996 à 62 ans en 2002. »</w:t>
      </w:r>
    </w:p>
    <w:p w14:paraId="61BC94D1"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Et quelle est la recette du succès finlandais ? Miser sur l’amélioration des conditions de travail, une dimension totalement absente du débat en France…</w:t>
      </w:r>
    </w:p>
    <w:p w14:paraId="1AA5EE45" w14:textId="77777777" w:rsidR="00F727B6" w:rsidRPr="00AC7081" w:rsidRDefault="00F727B6" w:rsidP="00AC7081">
      <w:pPr>
        <w:spacing w:after="0" w:line="240" w:lineRule="auto"/>
        <w:jc w:val="both"/>
        <w:rPr>
          <w:rFonts w:eastAsia="Times New Roman" w:cstheme="minorHAnsi"/>
          <w:lang w:eastAsia="fr-FR"/>
        </w:rPr>
      </w:pPr>
    </w:p>
    <w:p w14:paraId="6AB28676" w14:textId="77777777" w:rsidR="00F727B6" w:rsidRPr="00AC7081" w:rsidRDefault="00F727B6" w:rsidP="00AC7081">
      <w:pPr>
        <w:spacing w:before="100" w:beforeAutospacing="1" w:after="100" w:afterAutospacing="1" w:line="240" w:lineRule="auto"/>
        <w:jc w:val="both"/>
        <w:outlineLvl w:val="1"/>
        <w:rPr>
          <w:rFonts w:eastAsia="Times New Roman" w:cstheme="minorHAnsi"/>
          <w:b/>
          <w:bCs/>
          <w:lang w:eastAsia="fr-FR"/>
        </w:rPr>
      </w:pPr>
      <w:r w:rsidRPr="00AC7081">
        <w:rPr>
          <w:rFonts w:eastAsia="Times New Roman" w:cstheme="minorHAnsi"/>
          <w:b/>
          <w:bCs/>
          <w:lang w:eastAsia="fr-FR"/>
        </w:rPr>
        <w:t>3/ Parce qu’ils se demandent combien de temps encore ils vont pouvoir tenir</w:t>
      </w:r>
    </w:p>
    <w:p w14:paraId="5DDD3BF3"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Si les gens ne veulent pas travailler plus longtemps,</w:t>
      </w:r>
      <w:r w:rsidRPr="00AC7081">
        <w:rPr>
          <w:rFonts w:eastAsia="Times New Roman" w:cstheme="minorHAnsi"/>
          <w:lang w:eastAsia="fr-FR"/>
        </w:rPr>
        <w:t xml:space="preserve"> </w:t>
      </w:r>
      <w:r w:rsidRPr="00AC7081">
        <w:rPr>
          <w:rFonts w:eastAsia="Times New Roman" w:cstheme="minorHAnsi"/>
          <w:i/>
          <w:iCs/>
          <w:lang w:eastAsia="fr-FR"/>
        </w:rPr>
        <w:t>c’est parce qu’ils sont cassés par le travail »</w:t>
      </w:r>
      <w:r w:rsidRPr="00AC7081">
        <w:rPr>
          <w:rFonts w:eastAsia="Times New Roman" w:cstheme="minorHAnsi"/>
          <w:lang w:eastAsia="fr-FR"/>
        </w:rPr>
        <w:t xml:space="preserve">, assène Catherine Perret. L’usure au travail constitue en effet une motivation forte pour partir le plus tôt possible à la retraite. Plusieurs études l’ont corroboré, notamment l’enquête européenne sur les conditions de travail : plus de 40 % des Français ne pensaient pas pouvoir continuer leur travail jusqu’à 60 ans en 2015, contre moins de 20 % des Suédois ou des Allemands. </w:t>
      </w:r>
      <w:r w:rsidRPr="00AC7081">
        <w:rPr>
          <w:rFonts w:eastAsia="Times New Roman" w:cstheme="minorHAnsi"/>
          <w:i/>
          <w:iCs/>
          <w:lang w:eastAsia="fr-FR"/>
        </w:rPr>
        <w:t>« Il y a une corrélation très forte entre soutenabilité du travail et prolongation de l’activité, c’est ce que ne comprennent pas nos décideurs »</w:t>
      </w:r>
      <w:r w:rsidRPr="00AC7081">
        <w:rPr>
          <w:rFonts w:eastAsia="Times New Roman" w:cstheme="minorHAnsi"/>
          <w:lang w:eastAsia="fr-FR"/>
        </w:rPr>
        <w:t xml:space="preserve">, regrette Anne-Marie </w:t>
      </w:r>
      <w:proofErr w:type="spellStart"/>
      <w:r w:rsidRPr="00AC7081">
        <w:rPr>
          <w:rFonts w:eastAsia="Times New Roman" w:cstheme="minorHAnsi"/>
          <w:lang w:eastAsia="fr-FR"/>
        </w:rPr>
        <w:t>Guillemard</w:t>
      </w:r>
      <w:proofErr w:type="spellEnd"/>
      <w:r w:rsidRPr="00AC7081">
        <w:rPr>
          <w:rFonts w:eastAsia="Times New Roman" w:cstheme="minorHAnsi"/>
          <w:lang w:eastAsia="fr-FR"/>
        </w:rPr>
        <w:t>.</w:t>
      </w:r>
    </w:p>
    <w:p w14:paraId="0B51C660"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b/>
          <w:bCs/>
          <w:lang w:eastAsia="fr-FR"/>
        </w:rPr>
        <w:t>Une santé altérée</w:t>
      </w:r>
    </w:p>
    <w:p w14:paraId="5B341655"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Car la pénibilité physique n’a pas disparu, loin de là. Près d’un million de salariés, tous âges confondus, doivent répéter le même geste à une cadence élevée plus de 20 heures par semaine, tandis que près de 2 millions de travailleurs portent des charges lourdes plus de 10 heures par semaine, selon l’enquête Sumer. De quoi sérieusement altérer leur santé : la France est ainsi confrontée à une véritable épidémie de troubles </w:t>
      </w:r>
      <w:r w:rsidRPr="00AC7081">
        <w:rPr>
          <w:rFonts w:eastAsia="Times New Roman" w:cstheme="minorHAnsi"/>
          <w:lang w:eastAsia="fr-FR"/>
        </w:rPr>
        <w:softHyphen/>
        <w:t>muscu</w:t>
      </w:r>
      <w:r w:rsidRPr="00AC7081">
        <w:rPr>
          <w:rFonts w:eastAsia="Times New Roman" w:cstheme="minorHAnsi"/>
          <w:lang w:eastAsia="fr-FR"/>
        </w:rPr>
        <w:softHyphen/>
        <w:t>lo-squelettiques (TMS), qui ont occasionné la perte de 10,8 millions de journées de travail rien qu’en 2018.</w:t>
      </w:r>
    </w:p>
    <w:p w14:paraId="7849A353"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Un enjeu majeur, ce sont les douleurs ostéo-</w:t>
      </w:r>
      <w:r w:rsidRPr="00AC7081">
        <w:rPr>
          <w:rFonts w:eastAsia="Times New Roman" w:cstheme="minorHAnsi"/>
          <w:i/>
          <w:iCs/>
          <w:lang w:eastAsia="fr-FR"/>
        </w:rPr>
        <w:softHyphen/>
        <w:t xml:space="preserve">articulaires : les lombalgies, les douleurs aux épaules, aux genoux, </w:t>
      </w:r>
      <w:r w:rsidRPr="00AC7081">
        <w:rPr>
          <w:rFonts w:eastAsia="Times New Roman" w:cstheme="minorHAnsi"/>
          <w:lang w:eastAsia="fr-FR"/>
        </w:rPr>
        <w:t xml:space="preserve">explique Serge Volkoff. </w:t>
      </w:r>
      <w:r w:rsidRPr="00AC7081">
        <w:rPr>
          <w:rFonts w:eastAsia="Times New Roman" w:cstheme="minorHAnsi"/>
          <w:i/>
          <w:iCs/>
          <w:lang w:eastAsia="fr-FR"/>
        </w:rPr>
        <w:t>Or, tout ce qui est articulaire est très fortement indexé sur l’âge et sur les métiers manuels. C’est une machine à créer des départs précoces. »</w:t>
      </w:r>
    </w:p>
    <w:p w14:paraId="3C0BAF4C"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b/>
          <w:bCs/>
          <w:lang w:eastAsia="fr-FR"/>
        </w:rPr>
        <w:t>Déni de pénibilité</w:t>
      </w:r>
    </w:p>
    <w:p w14:paraId="2750D219"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Autre chiffre éloquent : les médecins du travail interrogés dans le cadre d’une enquête épidémiologique en 2005 jugeaient que 11 % des salariés quinquagénaires qu’ils suivaient feraient mieux d’arrêter de travailler. Une proportion qui grimpait à 20 % entre 59 et 61 ans</w:t>
      </w:r>
      <w:hyperlink r:id="rId15" w:anchor="footnote11_zfo1j4c" w:tooltip=" Selon l’enquête " w:history="1">
        <w:r w:rsidRPr="00AC7081">
          <w:rPr>
            <w:rFonts w:eastAsia="Times New Roman" w:cstheme="minorHAnsi"/>
            <w:color w:val="0000FF"/>
            <w:u w:val="single"/>
            <w:lang w:eastAsia="fr-FR"/>
          </w:rPr>
          <w:t>11</w:t>
        </w:r>
      </w:hyperlink>
      <w:r w:rsidRPr="00AC7081">
        <w:rPr>
          <w:rFonts w:eastAsia="Times New Roman" w:cstheme="minorHAnsi"/>
          <w:lang w:eastAsia="fr-FR"/>
        </w:rPr>
        <w:t>.</w:t>
      </w:r>
    </w:p>
    <w:p w14:paraId="6298DA9A"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On sait que les gens qui ont un travail </w:t>
      </w:r>
      <w:r w:rsidRPr="00AC7081">
        <w:rPr>
          <w:rFonts w:eastAsia="Times New Roman" w:cstheme="minorHAnsi"/>
          <w:i/>
          <w:iCs/>
          <w:lang w:eastAsia="fr-FR"/>
        </w:rPr>
        <w:softHyphen/>
        <w:t>physiquement pénible ont bien raison de partir en retraite,</w:t>
      </w:r>
      <w:r w:rsidRPr="00AC7081">
        <w:rPr>
          <w:rFonts w:eastAsia="Times New Roman" w:cstheme="minorHAnsi"/>
          <w:lang w:eastAsia="fr-FR"/>
        </w:rPr>
        <w:t xml:space="preserve"> ajoute Serge Volkoff. </w:t>
      </w:r>
      <w:r w:rsidRPr="00AC7081">
        <w:rPr>
          <w:rFonts w:eastAsia="Times New Roman" w:cstheme="minorHAnsi"/>
          <w:i/>
          <w:iCs/>
          <w:lang w:eastAsia="fr-FR"/>
        </w:rPr>
        <w:t>Leur santé s’améliore quand ils arrêtent : ils rajeunissent de deux ans en moyenne, c’est l’âge biologique qui diminue. »</w:t>
      </w:r>
    </w:p>
    <w:p w14:paraId="1D0737C4"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Il existait bien un compte pénibilité, pour permettre aux salariés usés par le travail de partir plus tôt. Mais il a été vidé de sa substance par Emmanuel Macron à son arrivée au pouvoir, qui a supprimé quatre critères sur dix et a même enlevé la référence à la « pénibilité » dans ce dispositif renommé compte personnel de prévention.</w:t>
      </w:r>
    </w:p>
    <w:p w14:paraId="38F30A4F" w14:textId="77777777" w:rsidR="00F727B6" w:rsidRPr="00AC7081" w:rsidRDefault="00F727B6" w:rsidP="00AC7081">
      <w:pPr>
        <w:spacing w:before="100" w:beforeAutospacing="1" w:after="100" w:afterAutospacing="1" w:line="240" w:lineRule="auto"/>
        <w:jc w:val="both"/>
        <w:outlineLvl w:val="1"/>
        <w:rPr>
          <w:rFonts w:eastAsia="Times New Roman" w:cstheme="minorHAnsi"/>
          <w:b/>
          <w:bCs/>
          <w:lang w:eastAsia="fr-FR"/>
        </w:rPr>
      </w:pPr>
      <w:r w:rsidRPr="00AC7081">
        <w:rPr>
          <w:rFonts w:eastAsia="Times New Roman" w:cstheme="minorHAnsi"/>
          <w:b/>
          <w:bCs/>
          <w:lang w:eastAsia="fr-FR"/>
        </w:rPr>
        <w:t>4/ </w:t>
      </w:r>
      <w:r w:rsidRPr="00AC7081">
        <w:rPr>
          <w:rFonts w:eastAsia="Times New Roman" w:cstheme="minorHAnsi"/>
          <w:b/>
          <w:bCs/>
          <w:lang w:eastAsia="fr-FR"/>
        </w:rPr>
        <w:softHyphen/>
        <w:t>Parce que leur boulot n’a plus de sens</w:t>
      </w:r>
    </w:p>
    <w:p w14:paraId="5EDF43B3"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Les ouvriers ne sont pas les seuls à souffrir au travail. Les cadres, eux aussi, sont touchés, notamment par les risques </w:t>
      </w:r>
      <w:r w:rsidRPr="00AC7081">
        <w:rPr>
          <w:rFonts w:eastAsia="Times New Roman" w:cstheme="minorHAnsi"/>
          <w:lang w:eastAsia="fr-FR"/>
        </w:rPr>
        <w:softHyphen/>
        <w:t>psychosociaux.</w:t>
      </w:r>
    </w:p>
    <w:p w14:paraId="36352369"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xml:space="preserve">« Au-delà des métiers pénibles, les cadres sont confrontés à des phénomènes d’usure psychique, parce qu’ils considèrent que leur travail n’a plus de sens, qu’il heurte leurs valeurs, ou encore parce qu’ils n’ont pas assez </w:t>
      </w:r>
      <w:r w:rsidRPr="00AC7081">
        <w:rPr>
          <w:rFonts w:eastAsia="Times New Roman" w:cstheme="minorHAnsi"/>
          <w:i/>
          <w:iCs/>
          <w:lang w:eastAsia="fr-FR"/>
        </w:rPr>
        <w:lastRenderedPageBreak/>
        <w:t xml:space="preserve">d’autonomie, qu’ils passent leur temps à faire du </w:t>
      </w:r>
      <w:proofErr w:type="spellStart"/>
      <w:r w:rsidRPr="00AC7081">
        <w:rPr>
          <w:rFonts w:eastAsia="Times New Roman" w:cstheme="minorHAnsi"/>
          <w:lang w:eastAsia="fr-FR"/>
        </w:rPr>
        <w:t>reporting</w:t>
      </w:r>
      <w:proofErr w:type="spellEnd"/>
      <w:r w:rsidRPr="00AC7081">
        <w:rPr>
          <w:rFonts w:eastAsia="Times New Roman" w:cstheme="minorHAnsi"/>
          <w:lang w:eastAsia="fr-FR"/>
        </w:rPr>
        <w:t xml:space="preserve">, liste François Desriaux. </w:t>
      </w:r>
      <w:r w:rsidRPr="00AC7081">
        <w:rPr>
          <w:rFonts w:eastAsia="Times New Roman" w:cstheme="minorHAnsi"/>
          <w:i/>
          <w:iCs/>
          <w:lang w:eastAsia="fr-FR"/>
        </w:rPr>
        <w:t>Les gens se plaignent de ne plus pouvoir faire un travail de qualité. Or, quelqu’un qui s’arrête pendant un an et demi à 55 ans à cause d’un burn-out, ce sera très dur pour lui ensuite de retrouver un travail. »</w:t>
      </w:r>
    </w:p>
    <w:p w14:paraId="2F9C56E0"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lang w:eastAsia="fr-FR"/>
        </w:rPr>
        <w:t>De plus en plus de salariés doivent travailler dans l’urgence, les managers cherchant à réduire tout ce qui est jugé improductif, tandis que les tâches sont de plus en plus standardisées et le travail davantage contrôlé</w:t>
      </w:r>
    </w:p>
    <w:p w14:paraId="1BBDA026"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Ce mal-être est directement lié à « l’intensification du travail ». Concrètement, de plus en plus de salariés doivent travailler dans l’urgence, les managers cherchant à réduire tout ce qui est jugé improductif, tandis que les tâches sont de plus en plus standardisées et le travail davantage contrôlé. C’est un mouvement général que l’on observe depuis une trentaine d’années, en France comme dans les autres pays développés, et qui pénalise tous les salariés. Mais qui complique encore davantage la vie au boulot des seniors.</w:t>
      </w:r>
    </w:p>
    <w:p w14:paraId="54B5A44D"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Parmi les quinquagénaires qui déclarent travailler sous pression du temps, près de quatre sur cinq jugent cela difficile. Cela s’ac</w:t>
      </w:r>
      <w:r w:rsidRPr="00AC7081">
        <w:rPr>
          <w:rFonts w:eastAsia="Times New Roman" w:cstheme="minorHAnsi"/>
          <w:i/>
          <w:iCs/>
          <w:lang w:eastAsia="fr-FR"/>
        </w:rPr>
        <w:softHyphen/>
        <w:t>compagne de pourcentages élevés de troubles du sommeil, de sensations de fatigue ou de douleurs arti</w:t>
      </w:r>
      <w:r w:rsidRPr="00AC7081">
        <w:rPr>
          <w:rFonts w:eastAsia="Times New Roman" w:cstheme="minorHAnsi"/>
          <w:i/>
          <w:iCs/>
          <w:lang w:eastAsia="fr-FR"/>
        </w:rPr>
        <w:softHyphen/>
        <w:t>culaires »</w:t>
      </w:r>
      <w:r w:rsidRPr="00AC7081">
        <w:rPr>
          <w:rFonts w:eastAsia="Times New Roman" w:cstheme="minorHAnsi"/>
          <w:lang w:eastAsia="fr-FR"/>
        </w:rPr>
        <w:t>, détaille Serge Volkoff.</w:t>
      </w:r>
    </w:p>
    <w:p w14:paraId="576CF749"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Le vieillissement au travail peut rendre plus difficile le fait d’être toujours en train de se presser, sans aucun degré de liberté dans les manières de faire ou d’organiser son travail,</w:t>
      </w:r>
      <w:r w:rsidRPr="00AC7081">
        <w:rPr>
          <w:rFonts w:eastAsia="Times New Roman" w:cstheme="minorHAnsi"/>
          <w:lang w:eastAsia="fr-FR"/>
        </w:rPr>
        <w:t xml:space="preserve"> ajoute l’ergonome Catherine </w:t>
      </w:r>
      <w:proofErr w:type="spellStart"/>
      <w:r w:rsidRPr="00AC7081">
        <w:rPr>
          <w:rFonts w:eastAsia="Times New Roman" w:cstheme="minorHAnsi"/>
          <w:lang w:eastAsia="fr-FR"/>
        </w:rPr>
        <w:t>Delgoulet</w:t>
      </w:r>
      <w:proofErr w:type="spellEnd"/>
      <w:r w:rsidRPr="00AC7081">
        <w:rPr>
          <w:rFonts w:eastAsia="Times New Roman" w:cstheme="minorHAnsi"/>
          <w:lang w:eastAsia="fr-FR"/>
        </w:rPr>
        <w:t xml:space="preserve">. </w:t>
      </w:r>
      <w:r w:rsidRPr="00AC7081">
        <w:rPr>
          <w:rFonts w:eastAsia="Times New Roman" w:cstheme="minorHAnsi"/>
          <w:i/>
          <w:iCs/>
          <w:lang w:eastAsia="fr-FR"/>
        </w:rPr>
        <w:t>Avec l’âge et l’expérience, de manière générale, on est davantage dans des stratégies d’anticipation, de vérification. S’ils doivent travailler dans la précipitation, les salariés âgés ne s’y retrouvent plus, leur travail perd son sens. »</w:t>
      </w:r>
    </w:p>
    <w:p w14:paraId="0A579925"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L’économiste Coralie Perez s’est penchée récemment sur cette question. Elle pointe notamment une probabilité plus grande de démissionner quand on trouve peu de sens dans son travail. </w:t>
      </w:r>
      <w:r w:rsidRPr="00AC7081">
        <w:rPr>
          <w:rFonts w:eastAsia="Times New Roman" w:cstheme="minorHAnsi"/>
          <w:i/>
          <w:iCs/>
          <w:lang w:eastAsia="fr-FR"/>
        </w:rPr>
        <w:t>« La perte de sens dégrade aussi la santé : on est plus susceptible de se mettre en arrêt maladie et pour plus longtemps »</w:t>
      </w:r>
      <w:r w:rsidRPr="00AC7081">
        <w:rPr>
          <w:rFonts w:eastAsia="Times New Roman" w:cstheme="minorHAnsi"/>
          <w:lang w:eastAsia="fr-FR"/>
        </w:rPr>
        <w:t>, ajoute-t-elle.</w:t>
      </w:r>
    </w:p>
    <w:p w14:paraId="5D9AC9F3"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b/>
          <w:bCs/>
          <w:lang w:eastAsia="fr-FR"/>
        </w:rPr>
        <w:t>Un sentiment de lassitude</w:t>
      </w:r>
    </w:p>
    <w:p w14:paraId="1642613F"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Quant à ceux qui restent, ils doivent en payer le prix, qui se monnaye souvent en perte d’intérêt pour le travail :</w:t>
      </w:r>
    </w:p>
    <w:p w14:paraId="0B996BEE"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Face à la multiplication des formes de pression sur les temps du travail, il y a avec l’âge un mouvement de mise à l’abri des contraintes temporelles, de délais, les plus fortes,</w:t>
      </w:r>
      <w:r w:rsidRPr="00AC7081">
        <w:rPr>
          <w:rFonts w:eastAsia="Times New Roman" w:cstheme="minorHAnsi"/>
          <w:lang w:eastAsia="fr-FR"/>
        </w:rPr>
        <w:t xml:space="preserve"> explique Serge Volkoff. </w:t>
      </w:r>
      <w:r w:rsidRPr="00AC7081">
        <w:rPr>
          <w:rFonts w:eastAsia="Times New Roman" w:cstheme="minorHAnsi"/>
          <w:i/>
          <w:iCs/>
          <w:lang w:eastAsia="fr-FR"/>
        </w:rPr>
        <w:t>Les plus âgés ont pu s’extraire de telles contraintes temporelles. C’est pour ça qu’ils continuent. Mais cette stratégie se paye parfois par un ennui accru au travail. »</w:t>
      </w:r>
    </w:p>
    <w:p w14:paraId="17CE4C3A"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Or, parmi les facteurs liés au travail qui poussent les Français à prendre leur retraite, c’est le sentiment de lassitude qui est le plus souvent évoqué par 42 % des retraités </w:t>
      </w:r>
      <w:hyperlink r:id="rId16" w:anchor="footnote12_0dhnfpc" w:history="1">
        <w:r w:rsidRPr="00AC7081">
          <w:rPr>
            <w:rFonts w:eastAsia="Times New Roman" w:cstheme="minorHAnsi"/>
            <w:color w:val="0000FF"/>
            <w:u w:val="single"/>
            <w:lang w:eastAsia="fr-FR"/>
          </w:rPr>
          <w:t>12</w:t>
        </w:r>
      </w:hyperlink>
      <w:r w:rsidRPr="00AC7081">
        <w:rPr>
          <w:rFonts w:eastAsia="Times New Roman" w:cstheme="minorHAnsi"/>
          <w:lang w:eastAsia="fr-FR"/>
        </w:rPr>
        <w:t xml:space="preserve">. </w:t>
      </w:r>
      <w:r w:rsidRPr="00AC7081">
        <w:rPr>
          <w:rFonts w:eastAsia="Times New Roman" w:cstheme="minorHAnsi"/>
          <w:i/>
          <w:iCs/>
          <w:lang w:eastAsia="fr-FR"/>
        </w:rPr>
        <w:t>« Un travail fade ou immuable s’ac</w:t>
      </w:r>
      <w:r w:rsidRPr="00AC7081">
        <w:rPr>
          <w:rFonts w:eastAsia="Times New Roman" w:cstheme="minorHAnsi"/>
          <w:i/>
          <w:iCs/>
          <w:lang w:eastAsia="fr-FR"/>
        </w:rPr>
        <w:softHyphen/>
        <w:t>compagne d’une prévalence accrue des troubles de santé mentale, d’un sentiment de ne pas pouvoir poursuivre jusqu’à la retraite ou d’une intention de prendre celle-ci rapidement »</w:t>
      </w:r>
      <w:r w:rsidRPr="00AC7081">
        <w:rPr>
          <w:rFonts w:eastAsia="Times New Roman" w:cstheme="minorHAnsi"/>
          <w:lang w:eastAsia="fr-FR"/>
        </w:rPr>
        <w:t>, confirme Serge Volkoff.</w:t>
      </w:r>
    </w:p>
    <w:p w14:paraId="604EFA7A"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Une solution consisterait à réduire progressivement la voilure. Mais c’est une autre parti</w:t>
      </w:r>
      <w:r w:rsidRPr="00AC7081">
        <w:rPr>
          <w:rFonts w:eastAsia="Times New Roman" w:cstheme="minorHAnsi"/>
          <w:lang w:eastAsia="fr-FR"/>
        </w:rPr>
        <w:softHyphen/>
        <w:t>cularité française : les salariés ont très peu recours au temps partiel choisi, car les employeurs freinent des quatre fers et les organisations du travail s’y prêtent peu.</w:t>
      </w:r>
    </w:p>
    <w:p w14:paraId="50EBF702"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Il existait auparavant un système de préretraite progressive, qui offrait des temps de repos bienvenus à partir de 55 ans, mais ce dispositif a été supprimé par la réforme des retraites de 2003, alors qu’il était</w:t>
      </w:r>
      <w:r w:rsidRPr="00AC7081">
        <w:rPr>
          <w:rFonts w:eastAsia="Times New Roman" w:cstheme="minorHAnsi"/>
          <w:i/>
          <w:iCs/>
          <w:lang w:eastAsia="fr-FR"/>
        </w:rPr>
        <w:t xml:space="preserve"> « assez convaincant »</w:t>
      </w:r>
      <w:r w:rsidRPr="00AC7081">
        <w:rPr>
          <w:rFonts w:eastAsia="Times New Roman" w:cstheme="minorHAnsi"/>
          <w:lang w:eastAsia="fr-FR"/>
        </w:rPr>
        <w:t>, juge Serge Volkoff.</w:t>
      </w:r>
    </w:p>
    <w:p w14:paraId="076FD5A8"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Aujourd’hui, il reste la possibilité de prendre une retraite progressive, mais seulement à partir de 60 ans et le dispositif est peu connu. Cela demeure donc marginal (24 000 personnes concernées en 2020).</w:t>
      </w:r>
      <w:r w:rsidRPr="00AC7081">
        <w:rPr>
          <w:rFonts w:eastAsia="Times New Roman" w:cstheme="minorHAnsi"/>
          <w:i/>
          <w:iCs/>
          <w:lang w:eastAsia="fr-FR"/>
        </w:rPr>
        <w:t xml:space="preserve"> « Le fait de ne pas pouvoir baisser son temps de travail pénalise les seniors,</w:t>
      </w:r>
      <w:r w:rsidRPr="00AC7081">
        <w:rPr>
          <w:rFonts w:eastAsia="Times New Roman" w:cstheme="minorHAnsi"/>
          <w:lang w:eastAsia="fr-FR"/>
        </w:rPr>
        <w:t xml:space="preserve"> estime Catherine </w:t>
      </w:r>
      <w:proofErr w:type="spellStart"/>
      <w:r w:rsidRPr="00AC7081">
        <w:rPr>
          <w:rFonts w:eastAsia="Times New Roman" w:cstheme="minorHAnsi"/>
          <w:lang w:eastAsia="fr-FR"/>
        </w:rPr>
        <w:t>Delgoulet</w:t>
      </w:r>
      <w:proofErr w:type="spellEnd"/>
      <w:r w:rsidRPr="00AC7081">
        <w:rPr>
          <w:rFonts w:eastAsia="Times New Roman" w:cstheme="minorHAnsi"/>
          <w:lang w:eastAsia="fr-FR"/>
        </w:rPr>
        <w:t xml:space="preserve">. </w:t>
      </w:r>
      <w:r w:rsidRPr="00AC7081">
        <w:rPr>
          <w:rFonts w:eastAsia="Times New Roman" w:cstheme="minorHAnsi"/>
          <w:i/>
          <w:iCs/>
          <w:lang w:eastAsia="fr-FR"/>
        </w:rPr>
        <w:t>Et ceux qui le font malgré tout se retrouvent souvent placardisés. »</w:t>
      </w:r>
    </w:p>
    <w:p w14:paraId="68643DE9" w14:textId="77777777" w:rsidR="00F727B6" w:rsidRPr="00AC7081" w:rsidRDefault="00F727B6" w:rsidP="00AC7081">
      <w:pPr>
        <w:spacing w:before="100" w:beforeAutospacing="1" w:after="100" w:afterAutospacing="1" w:line="240" w:lineRule="auto"/>
        <w:jc w:val="both"/>
        <w:outlineLvl w:val="1"/>
        <w:rPr>
          <w:rFonts w:eastAsia="Times New Roman" w:cstheme="minorHAnsi"/>
          <w:b/>
          <w:bCs/>
          <w:lang w:eastAsia="fr-FR"/>
        </w:rPr>
      </w:pPr>
      <w:r w:rsidRPr="00AC7081">
        <w:rPr>
          <w:rFonts w:eastAsia="Times New Roman" w:cstheme="minorHAnsi"/>
          <w:b/>
          <w:bCs/>
          <w:lang w:eastAsia="fr-FR"/>
        </w:rPr>
        <w:t>5/ Parce qu’ils n’ont pas été suffisamment formés</w:t>
      </w:r>
    </w:p>
    <w:p w14:paraId="68A7F01B"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lastRenderedPageBreak/>
        <w:t>« Ce qui donne envie aux gens de rester ?</w:t>
      </w:r>
      <w:r w:rsidRPr="00AC7081">
        <w:rPr>
          <w:rFonts w:eastAsia="Times New Roman" w:cstheme="minorHAnsi"/>
          <w:lang w:eastAsia="fr-FR"/>
        </w:rPr>
        <w:t xml:space="preserve"> </w:t>
      </w:r>
      <w:r w:rsidRPr="00AC7081">
        <w:rPr>
          <w:rFonts w:eastAsia="Times New Roman" w:cstheme="minorHAnsi"/>
          <w:i/>
          <w:iCs/>
          <w:lang w:eastAsia="fr-FR"/>
        </w:rPr>
        <w:t>C’est d’abord un travail qui permet d’apprendre »</w:t>
      </w:r>
      <w:r w:rsidRPr="00AC7081">
        <w:rPr>
          <w:rFonts w:eastAsia="Times New Roman" w:cstheme="minorHAnsi"/>
          <w:lang w:eastAsia="fr-FR"/>
        </w:rPr>
        <w:t>, estime Annie Jolivet. Le problème, c’est que l’accès à la formation décroît avec l’âge</w:t>
      </w:r>
      <w:hyperlink r:id="rId17" w:anchor="footnote13_i2cp0pq" w:tooltip=" " w:history="1">
        <w:r w:rsidRPr="00AC7081">
          <w:rPr>
            <w:rFonts w:eastAsia="Times New Roman" w:cstheme="minorHAnsi"/>
            <w:color w:val="0000FF"/>
            <w:u w:val="single"/>
            <w:lang w:eastAsia="fr-FR"/>
          </w:rPr>
          <w:t>13</w:t>
        </w:r>
      </w:hyperlink>
      <w:r w:rsidRPr="00AC7081">
        <w:rPr>
          <w:rFonts w:eastAsia="Times New Roman" w:cstheme="minorHAnsi"/>
          <w:lang w:eastAsia="fr-FR"/>
        </w:rPr>
        <w:t>. Entre 55 et 59 ans, un salarié a deux fois moins de chances de suivre une formation qu’un collègue âgé de 40-44 ans. Et au-delà de 45 ans, le taux de recours au compte personnel de formation chute d’un tiers.</w:t>
      </w:r>
    </w:p>
    <w:p w14:paraId="0DB31B32"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lang w:eastAsia="fr-FR"/>
        </w:rPr>
        <w:t>37 % des ouvriers et employés de plus de 50 ans évoquent l’absence d’aide ou le refus de l’employeur comme raison principale les ayant empêchés de suivre une formation</w:t>
      </w:r>
    </w:p>
    <w:p w14:paraId="2B270968"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Passé un certain âge, les salariés ne voient plus l’utilité de se former, ils ont le sentiment de ne pas en avoir besoin. Un ressenti particulièrement marqué chez les ouvriers. Et ce n’est pas leurs employeurs qui vont les convaincre du contraire : 37 % des ouvriers et employés de plus de 50 ans évoquent l’absence d’aide ou le refus de l’employeur comme raison principale les ayant empêchés de suivre une formation, contre 28 % de ceux âgés de 30 à 44 ans.</w:t>
      </w:r>
    </w:p>
    <w:p w14:paraId="13A0B61F"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Les cadres, en revanche, sont nettement moins concernés par de tels freins. </w:t>
      </w:r>
      <w:r w:rsidRPr="00AC7081">
        <w:rPr>
          <w:rFonts w:eastAsia="Times New Roman" w:cstheme="minorHAnsi"/>
          <w:i/>
          <w:iCs/>
          <w:lang w:eastAsia="fr-FR"/>
        </w:rPr>
        <w:t>« La perte d’employabilité avec l’âge risque donc d’être plus rapide pour les ouvriers et les employés qui voient leur taux d’accès à la formation diminuer dès 35 ans, contre 50 ans pour les cadres »</w:t>
      </w:r>
      <w:r w:rsidRPr="00AC7081">
        <w:rPr>
          <w:rFonts w:eastAsia="Times New Roman" w:cstheme="minorHAnsi"/>
          <w:lang w:eastAsia="fr-FR"/>
        </w:rPr>
        <w:t>, note la Direction générale du Trésor</w:t>
      </w:r>
      <w:hyperlink r:id="rId18" w:anchor="footnote14_3w0w95j" w:history="1">
        <w:r w:rsidRPr="00AC7081">
          <w:rPr>
            <w:rFonts w:eastAsia="Times New Roman" w:cstheme="minorHAnsi"/>
            <w:color w:val="0000FF"/>
            <w:u w:val="single"/>
            <w:lang w:eastAsia="fr-FR"/>
          </w:rPr>
          <w:t>14</w:t>
        </w:r>
      </w:hyperlink>
      <w:r w:rsidRPr="00AC7081">
        <w:rPr>
          <w:rFonts w:eastAsia="Times New Roman" w:cstheme="minorHAnsi"/>
          <w:lang w:eastAsia="fr-FR"/>
        </w:rPr>
        <w:t> Pourtant, un meilleur accès à la formation pourrait aider les ouvriers à basculer sur des métiers moins pénibles, plus adaptés à leur fin de carrière.</w:t>
      </w:r>
    </w:p>
    <w:p w14:paraId="177786DA"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Difficulté supplémentaire : en France, la formation continue s’est construite sur un modèle scolaire valorisant les cours et les stages. </w:t>
      </w:r>
      <w:r w:rsidRPr="00AC7081">
        <w:rPr>
          <w:rFonts w:eastAsia="Times New Roman" w:cstheme="minorHAnsi"/>
          <w:i/>
          <w:iCs/>
          <w:lang w:eastAsia="fr-FR"/>
        </w:rPr>
        <w:t>« Les salariés français ont une espérance de formation par cours et stages supérieure de 20 % à la moyenne européenne »</w:t>
      </w:r>
      <w:r w:rsidRPr="00AC7081">
        <w:rPr>
          <w:rFonts w:eastAsia="Times New Roman" w:cstheme="minorHAnsi"/>
          <w:lang w:eastAsia="fr-FR"/>
        </w:rPr>
        <w:t>, précise une étude du Céreq</w:t>
      </w:r>
      <w:hyperlink r:id="rId19" w:anchor="footnote15_62tu70l" w:history="1">
        <w:r w:rsidRPr="00AC7081">
          <w:rPr>
            <w:rFonts w:eastAsia="Times New Roman" w:cstheme="minorHAnsi"/>
            <w:color w:val="0000FF"/>
            <w:u w:val="single"/>
            <w:lang w:eastAsia="fr-FR"/>
          </w:rPr>
          <w:t>15</w:t>
        </w:r>
      </w:hyperlink>
      <w:r w:rsidRPr="00AC7081">
        <w:rPr>
          <w:rFonts w:eastAsia="Times New Roman" w:cstheme="minorHAnsi"/>
          <w:lang w:eastAsia="fr-FR"/>
        </w:rPr>
        <w:t>.</w:t>
      </w:r>
    </w:p>
    <w:p w14:paraId="5F7D0686"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Mais les seniors ont moins besoin de cours formels que d’appui et d’ac</w:t>
      </w:r>
      <w:r w:rsidRPr="00AC7081">
        <w:rPr>
          <w:rFonts w:eastAsia="Times New Roman" w:cstheme="minorHAnsi"/>
          <w:i/>
          <w:iCs/>
          <w:lang w:eastAsia="fr-FR"/>
        </w:rPr>
        <w:softHyphen/>
        <w:t>compagnement dans l’exercice de leur travail, et surtout lors des transformations réglementaires, organisationnelles ou technologiques associées,</w:t>
      </w:r>
      <w:r w:rsidRPr="00AC7081">
        <w:rPr>
          <w:rFonts w:eastAsia="Times New Roman" w:cstheme="minorHAnsi"/>
          <w:lang w:eastAsia="fr-FR"/>
        </w:rPr>
        <w:t xml:space="preserve"> analyse Catherine </w:t>
      </w:r>
      <w:proofErr w:type="spellStart"/>
      <w:r w:rsidRPr="00AC7081">
        <w:rPr>
          <w:rFonts w:eastAsia="Times New Roman" w:cstheme="minorHAnsi"/>
          <w:lang w:eastAsia="fr-FR"/>
        </w:rPr>
        <w:t>Delgoulet</w:t>
      </w:r>
      <w:proofErr w:type="spellEnd"/>
      <w:r w:rsidRPr="00AC7081">
        <w:rPr>
          <w:rFonts w:eastAsia="Times New Roman" w:cstheme="minorHAnsi"/>
          <w:lang w:eastAsia="fr-FR"/>
        </w:rPr>
        <w:t xml:space="preserve">. </w:t>
      </w:r>
      <w:r w:rsidRPr="00AC7081">
        <w:rPr>
          <w:rFonts w:eastAsia="Times New Roman" w:cstheme="minorHAnsi"/>
          <w:i/>
          <w:iCs/>
          <w:lang w:eastAsia="fr-FR"/>
        </w:rPr>
        <w:t>D’autres pays, en Europe du Nord par exemple, font beaucoup mieux que nous en matière d’organisation du travail apprenante ou de tutorat. »</w:t>
      </w:r>
    </w:p>
    <w:p w14:paraId="5A703EC2" w14:textId="77777777" w:rsidR="00F727B6" w:rsidRPr="00AC7081" w:rsidRDefault="00F727B6" w:rsidP="00AC7081">
      <w:pPr>
        <w:spacing w:after="0" w:line="240" w:lineRule="auto"/>
        <w:jc w:val="both"/>
        <w:rPr>
          <w:rFonts w:eastAsia="Times New Roman" w:cstheme="minorHAnsi"/>
          <w:lang w:eastAsia="fr-FR"/>
        </w:rPr>
      </w:pPr>
    </w:p>
    <w:p w14:paraId="1F2490E3" w14:textId="77777777" w:rsidR="00F727B6" w:rsidRPr="00AC7081" w:rsidRDefault="00F727B6" w:rsidP="00AC7081">
      <w:pPr>
        <w:spacing w:before="100" w:beforeAutospacing="1" w:after="100" w:afterAutospacing="1" w:line="240" w:lineRule="auto"/>
        <w:jc w:val="both"/>
        <w:outlineLvl w:val="1"/>
        <w:rPr>
          <w:rFonts w:eastAsia="Times New Roman" w:cstheme="minorHAnsi"/>
          <w:b/>
          <w:bCs/>
          <w:lang w:eastAsia="fr-FR"/>
        </w:rPr>
      </w:pPr>
      <w:r w:rsidRPr="00AC7081">
        <w:rPr>
          <w:rFonts w:eastAsia="Times New Roman" w:cstheme="minorHAnsi"/>
          <w:b/>
          <w:bCs/>
          <w:lang w:eastAsia="fr-FR"/>
        </w:rPr>
        <w:t>6/ Parce qu’ils n’ont pas confiance dans l’avenir</w:t>
      </w:r>
    </w:p>
    <w:p w14:paraId="58D72A55"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Croire qu’il suffit de déplacer le curseur de l’âge légal pour remettre la France au boulot, c’est oublier que les Français évoluent dans un contexte macro</w:t>
      </w:r>
      <w:r w:rsidRPr="00AC7081">
        <w:rPr>
          <w:rFonts w:eastAsia="Times New Roman" w:cstheme="minorHAnsi"/>
          <w:lang w:eastAsia="fr-FR"/>
        </w:rPr>
        <w:softHyphen/>
        <w:t>économique qui dépasse largement leur bonne volonté. L’horizon économique reste déterminant.</w:t>
      </w:r>
    </w:p>
    <w:p w14:paraId="517FDEDC"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 xml:space="preserve">Dans un rapport réalisé pour le Conseil d’orientation des retraites (COR) en 2007, l’OFCE avait montré que les pays d’Europe du Nord qui bénéficient d’un taux d’emploi des seniors élevé ne le doivent pas à leur législation sur les retraites, mais à un contexte plus général de plein-emploi : </w:t>
      </w:r>
      <w:r w:rsidRPr="00AC7081">
        <w:rPr>
          <w:rFonts w:eastAsia="Times New Roman" w:cstheme="minorHAnsi"/>
          <w:i/>
          <w:iCs/>
          <w:lang w:eastAsia="fr-FR"/>
        </w:rPr>
        <w:t>« le plein-emploi ou du moins une baisse sensible du chômage est un préalable nécessaire à de bonnes performances en matière d’emploi des seniors »</w:t>
      </w:r>
      <w:r w:rsidRPr="00AC7081">
        <w:rPr>
          <w:rFonts w:eastAsia="Times New Roman" w:cstheme="minorHAnsi"/>
          <w:lang w:eastAsia="fr-FR"/>
        </w:rPr>
        <w:t>, concluaient les auteurs</w:t>
      </w:r>
      <w:hyperlink r:id="rId20" w:anchor="footnote16_g4ng7wt" w:history="1">
        <w:r w:rsidRPr="00AC7081">
          <w:rPr>
            <w:rFonts w:eastAsia="Times New Roman" w:cstheme="minorHAnsi"/>
            <w:color w:val="0000FF"/>
            <w:u w:val="single"/>
            <w:lang w:eastAsia="fr-FR"/>
          </w:rPr>
          <w:t>16</w:t>
        </w:r>
      </w:hyperlink>
      <w:r w:rsidRPr="00AC7081">
        <w:rPr>
          <w:rFonts w:eastAsia="Times New Roman" w:cstheme="minorHAnsi"/>
          <w:lang w:eastAsia="fr-FR"/>
        </w:rPr>
        <w:t>.</w:t>
      </w:r>
    </w:p>
    <w:p w14:paraId="319591E9"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Le contexte économique pèse très lourdement sur l’emploi des seniors,</w:t>
      </w:r>
      <w:r w:rsidRPr="00AC7081">
        <w:rPr>
          <w:rFonts w:eastAsia="Times New Roman" w:cstheme="minorHAnsi"/>
          <w:lang w:eastAsia="fr-FR"/>
        </w:rPr>
        <w:t xml:space="preserve"> confirme Annie Jolivet. </w:t>
      </w:r>
      <w:r w:rsidRPr="00AC7081">
        <w:rPr>
          <w:rFonts w:eastAsia="Times New Roman" w:cstheme="minorHAnsi"/>
          <w:i/>
          <w:iCs/>
          <w:lang w:eastAsia="fr-FR"/>
        </w:rPr>
        <w:t>Il y a un lien étroit avec notre politique industrielle : c’est là où des pans d’activité ont disparu que les seniors se heurtent aux plus grosses difficultés d’embauche. »</w:t>
      </w:r>
    </w:p>
    <w:p w14:paraId="520B7860"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En 2018, le taux d’emploi des 55-64 ans était en effet bien inférieur à la moyenne nationale (52,3 %) dans les départements frappés par la désindustrialisation comme le Pas-de-Calais (40,7 %), le Nord (44,5 %), les Ardennes (43,2 %), la Moselle (45,6 %), les Vosges (45,1 %). A Paris, à titre de </w:t>
      </w:r>
      <w:r w:rsidRPr="00AC7081">
        <w:rPr>
          <w:rFonts w:eastAsia="Times New Roman" w:cstheme="minorHAnsi"/>
          <w:lang w:eastAsia="fr-FR"/>
        </w:rPr>
        <w:softHyphen/>
        <w:t>comparaison, il culminait à 65,6 %. Attention, enfin, à ne pas négliger « l’effet législatif ». Les Français souhaitent aussi partir le plus vite possible pour éviter d’avoir à subir une nouvelle réforme.</w:t>
      </w:r>
    </w:p>
    <w:p w14:paraId="1D15E7D3" w14:textId="77777777" w:rsidR="00F727B6" w:rsidRPr="00AC7081" w:rsidRDefault="00F727B6" w:rsidP="00AC7081">
      <w:pPr>
        <w:spacing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 La retraite est devenue mouvante, ce n’est plus un horizon sûr, ce qui incite les gens à partir le plus vite possible,</w:t>
      </w:r>
      <w:r w:rsidRPr="00AC7081">
        <w:rPr>
          <w:rFonts w:eastAsia="Times New Roman" w:cstheme="minorHAnsi"/>
          <w:lang w:eastAsia="fr-FR"/>
        </w:rPr>
        <w:t xml:space="preserve"> explique Anne-Marie </w:t>
      </w:r>
      <w:proofErr w:type="spellStart"/>
      <w:r w:rsidRPr="00AC7081">
        <w:rPr>
          <w:rFonts w:eastAsia="Times New Roman" w:cstheme="minorHAnsi"/>
          <w:lang w:eastAsia="fr-FR"/>
        </w:rPr>
        <w:t>Guillemard</w:t>
      </w:r>
      <w:proofErr w:type="spellEnd"/>
      <w:r w:rsidRPr="00AC7081">
        <w:rPr>
          <w:rFonts w:eastAsia="Times New Roman" w:cstheme="minorHAnsi"/>
          <w:lang w:eastAsia="fr-FR"/>
        </w:rPr>
        <w:t xml:space="preserve">. </w:t>
      </w:r>
      <w:r w:rsidRPr="00AC7081">
        <w:rPr>
          <w:rFonts w:eastAsia="Times New Roman" w:cstheme="minorHAnsi"/>
          <w:i/>
          <w:iCs/>
          <w:lang w:eastAsia="fr-FR"/>
        </w:rPr>
        <w:t>Ils s’imaginent que l’avenir sera sombre et qu’il faut sortir le plus vite possible de l’activité aux moins mauvaises conditions. »</w:t>
      </w:r>
    </w:p>
    <w:p w14:paraId="6C6B412C" w14:textId="77777777" w:rsidR="00F727B6" w:rsidRPr="00AC7081" w:rsidRDefault="00F727B6" w:rsidP="00AC7081">
      <w:pPr>
        <w:spacing w:before="100" w:beforeAutospacing="1" w:after="100" w:afterAutospacing="1" w:line="240" w:lineRule="auto"/>
        <w:jc w:val="both"/>
        <w:rPr>
          <w:rFonts w:eastAsia="Times New Roman" w:cstheme="minorHAnsi"/>
          <w:lang w:eastAsia="fr-FR"/>
        </w:rPr>
      </w:pPr>
      <w:r w:rsidRPr="00AC7081">
        <w:rPr>
          <w:rFonts w:eastAsia="Times New Roman" w:cstheme="minorHAnsi"/>
          <w:lang w:eastAsia="fr-FR"/>
        </w:rPr>
        <w:t>Ce n’est pas le moindre des paradoxes d’une réforme censée nous faire travailler davantage.</w:t>
      </w:r>
    </w:p>
    <w:p w14:paraId="69B025AD" w14:textId="77777777" w:rsidR="00F727B6" w:rsidRPr="00AC7081" w:rsidRDefault="00F727B6" w:rsidP="00AC7081">
      <w:pPr>
        <w:spacing w:after="0" w:line="240" w:lineRule="auto"/>
        <w:jc w:val="both"/>
        <w:rPr>
          <w:rFonts w:eastAsia="Times New Roman" w:cstheme="minorHAnsi"/>
          <w:lang w:eastAsia="fr-FR"/>
        </w:rPr>
      </w:pPr>
    </w:p>
    <w:p w14:paraId="25A23EE2" w14:textId="77777777" w:rsidR="00F727B6" w:rsidRPr="00AC7081" w:rsidRDefault="00F727B6" w:rsidP="00AC7081">
      <w:pPr>
        <w:spacing w:before="100" w:beforeAutospacing="1" w:after="100" w:afterAutospacing="1" w:line="240" w:lineRule="auto"/>
        <w:jc w:val="both"/>
        <w:outlineLvl w:val="3"/>
        <w:rPr>
          <w:rFonts w:eastAsia="Times New Roman" w:cstheme="minorHAnsi"/>
          <w:b/>
          <w:bCs/>
          <w:lang w:eastAsia="fr-FR"/>
        </w:rPr>
      </w:pPr>
      <w:r w:rsidRPr="00AC7081">
        <w:rPr>
          <w:rFonts w:eastAsia="Times New Roman" w:cstheme="minorHAnsi"/>
          <w:b/>
          <w:bCs/>
          <w:lang w:eastAsia="fr-FR"/>
        </w:rPr>
        <w:t>Pour en savoir plus</w:t>
      </w:r>
    </w:p>
    <w:p w14:paraId="5C532031" w14:textId="77777777" w:rsidR="00F727B6" w:rsidRPr="00AC7081" w:rsidRDefault="00F727B6" w:rsidP="00AC7081">
      <w:pPr>
        <w:numPr>
          <w:ilvl w:val="0"/>
          <w:numId w:val="3"/>
        </w:numPr>
        <w:spacing w:before="100"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Le travail pressé. Pour une écologie des temps de travail</w:t>
      </w:r>
      <w:r w:rsidRPr="00AC7081">
        <w:rPr>
          <w:rFonts w:eastAsia="Times New Roman" w:cstheme="minorHAnsi"/>
          <w:lang w:eastAsia="fr-FR"/>
        </w:rPr>
        <w:t xml:space="preserve">, par Corinne </w:t>
      </w:r>
      <w:proofErr w:type="spellStart"/>
      <w:r w:rsidRPr="00AC7081">
        <w:rPr>
          <w:rFonts w:eastAsia="Times New Roman" w:cstheme="minorHAnsi"/>
          <w:lang w:eastAsia="fr-FR"/>
        </w:rPr>
        <w:t>Gaudart</w:t>
      </w:r>
      <w:proofErr w:type="spellEnd"/>
      <w:r w:rsidRPr="00AC7081">
        <w:rPr>
          <w:rFonts w:eastAsia="Times New Roman" w:cstheme="minorHAnsi"/>
          <w:lang w:eastAsia="fr-FR"/>
        </w:rPr>
        <w:t xml:space="preserve"> et Serge Volkoff, Les petits matins, 2022.</w:t>
      </w:r>
    </w:p>
    <w:p w14:paraId="7C06EB90" w14:textId="77777777" w:rsidR="00F727B6" w:rsidRPr="00AC7081" w:rsidRDefault="00F727B6" w:rsidP="00AC7081">
      <w:pPr>
        <w:numPr>
          <w:ilvl w:val="0"/>
          <w:numId w:val="3"/>
        </w:numPr>
        <w:spacing w:before="100"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Redonner du sens au travail. Une aspiration révolutionnaire</w:t>
      </w:r>
      <w:r w:rsidRPr="00AC7081">
        <w:rPr>
          <w:rFonts w:eastAsia="Times New Roman" w:cstheme="minorHAnsi"/>
          <w:lang w:eastAsia="fr-FR"/>
        </w:rPr>
        <w:t xml:space="preserve">, par Thomas </w:t>
      </w:r>
      <w:proofErr w:type="spellStart"/>
      <w:r w:rsidRPr="00AC7081">
        <w:rPr>
          <w:rFonts w:eastAsia="Times New Roman" w:cstheme="minorHAnsi"/>
          <w:lang w:eastAsia="fr-FR"/>
        </w:rPr>
        <w:t>Coutrot</w:t>
      </w:r>
      <w:proofErr w:type="spellEnd"/>
      <w:r w:rsidRPr="00AC7081">
        <w:rPr>
          <w:rFonts w:eastAsia="Times New Roman" w:cstheme="minorHAnsi"/>
          <w:lang w:eastAsia="fr-FR"/>
        </w:rPr>
        <w:t xml:space="preserve"> et Coralie Perez, Seuil-La République des idées, 2022.</w:t>
      </w:r>
    </w:p>
    <w:p w14:paraId="3087E581" w14:textId="77777777" w:rsidR="00F727B6" w:rsidRPr="00AC7081" w:rsidRDefault="00F727B6" w:rsidP="00AC7081">
      <w:pPr>
        <w:numPr>
          <w:ilvl w:val="0"/>
          <w:numId w:val="3"/>
        </w:numPr>
        <w:spacing w:before="100" w:beforeAutospacing="1" w:after="100" w:afterAutospacing="1" w:line="240" w:lineRule="auto"/>
        <w:jc w:val="both"/>
        <w:rPr>
          <w:rFonts w:eastAsia="Times New Roman" w:cstheme="minorHAnsi"/>
          <w:lang w:eastAsia="fr-FR"/>
        </w:rPr>
      </w:pPr>
      <w:r w:rsidRPr="00AC7081">
        <w:rPr>
          <w:rFonts w:eastAsia="Times New Roman" w:cstheme="minorHAnsi"/>
          <w:i/>
          <w:iCs/>
          <w:lang w:eastAsia="fr-FR"/>
        </w:rPr>
        <w:t>Réformer les retraites</w:t>
      </w:r>
      <w:r w:rsidRPr="00AC7081">
        <w:rPr>
          <w:rFonts w:eastAsia="Times New Roman" w:cstheme="minorHAnsi"/>
          <w:lang w:eastAsia="fr-FR"/>
        </w:rPr>
        <w:t>, par Bruno Palier, Les Presses de Sciences Po, 2021.</w:t>
      </w:r>
    </w:p>
    <w:p w14:paraId="687C58CF"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21" w:anchor="footnoteref1_wqn64p2" w:history="1">
        <w:r w:rsidR="00F727B6" w:rsidRPr="00AC7081">
          <w:rPr>
            <w:rFonts w:eastAsia="Times New Roman" w:cstheme="minorHAnsi"/>
            <w:color w:val="0000FF"/>
            <w:u w:val="single"/>
            <w:lang w:eastAsia="fr-FR"/>
          </w:rPr>
          <w:t>1.</w:t>
        </w:r>
      </w:hyperlink>
      <w:r w:rsidR="00F727B6" w:rsidRPr="00AC7081">
        <w:rPr>
          <w:rFonts w:eastAsia="Times New Roman" w:cstheme="minorHAnsi"/>
          <w:lang w:eastAsia="fr-FR"/>
        </w:rPr>
        <w:t xml:space="preserve"> Voir « </w:t>
      </w:r>
      <w:hyperlink r:id="rId22" w:tgtFrame="_blank" w:history="1">
        <w:r w:rsidR="00F727B6" w:rsidRPr="00AC7081">
          <w:rPr>
            <w:rFonts w:eastAsia="Times New Roman" w:cstheme="minorHAnsi"/>
            <w:color w:val="0000FF"/>
            <w:u w:val="single"/>
            <w:lang w:eastAsia="fr-FR"/>
          </w:rPr>
          <w:t>Les retraités et les retraites</w:t>
        </w:r>
      </w:hyperlink>
      <w:r w:rsidR="00F727B6" w:rsidRPr="00AC7081">
        <w:rPr>
          <w:rFonts w:eastAsia="Times New Roman" w:cstheme="minorHAnsi"/>
          <w:lang w:eastAsia="fr-FR"/>
        </w:rPr>
        <w:t> », Panoramas de la Drees social, édition 2022</w:t>
      </w:r>
    </w:p>
    <w:p w14:paraId="0567D9F7"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23" w:anchor="footnoteref2_2gfrj7i" w:history="1">
        <w:r w:rsidR="00F727B6" w:rsidRPr="00AC7081">
          <w:rPr>
            <w:rFonts w:eastAsia="Times New Roman" w:cstheme="minorHAnsi"/>
            <w:color w:val="0000FF"/>
            <w:u w:val="single"/>
            <w:lang w:eastAsia="fr-FR"/>
          </w:rPr>
          <w:t>2.</w:t>
        </w:r>
      </w:hyperlink>
      <w:r w:rsidR="00F727B6" w:rsidRPr="00AC7081">
        <w:rPr>
          <w:rFonts w:eastAsia="Times New Roman" w:cstheme="minorHAnsi"/>
          <w:lang w:eastAsia="fr-FR"/>
        </w:rPr>
        <w:t xml:space="preserve"> A la demande d’</w:t>
      </w:r>
      <w:r w:rsidR="00F727B6" w:rsidRPr="00AC7081">
        <w:rPr>
          <w:rFonts w:eastAsia="Times New Roman" w:cstheme="minorHAnsi"/>
          <w:i/>
          <w:iCs/>
          <w:lang w:eastAsia="fr-FR"/>
        </w:rPr>
        <w:t>Alternatives Economiques</w:t>
      </w:r>
      <w:r w:rsidR="00F727B6" w:rsidRPr="00AC7081">
        <w:rPr>
          <w:rFonts w:eastAsia="Times New Roman" w:cstheme="minorHAnsi"/>
          <w:lang w:eastAsia="fr-FR"/>
        </w:rPr>
        <w:t>, résultat issu de la huitième vague de l’enquête Share, par l’équipe Share-France, Laboratoire d’économie de Dauphine (</w:t>
      </w:r>
      <w:proofErr w:type="spellStart"/>
      <w:r w:rsidR="00F727B6" w:rsidRPr="00AC7081">
        <w:rPr>
          <w:rFonts w:eastAsia="Times New Roman" w:cstheme="minorHAnsi"/>
          <w:lang w:eastAsia="fr-FR"/>
        </w:rPr>
        <w:t>LEDa</w:t>
      </w:r>
      <w:proofErr w:type="spellEnd"/>
      <w:r w:rsidR="00F727B6" w:rsidRPr="00AC7081">
        <w:rPr>
          <w:rFonts w:eastAsia="Times New Roman" w:cstheme="minorHAnsi"/>
          <w:lang w:eastAsia="fr-FR"/>
        </w:rPr>
        <w:t>), université Paris Dauphine-PSL.</w:t>
      </w:r>
    </w:p>
    <w:p w14:paraId="7C218742"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24" w:anchor="footnoteref3_kt74z3b" w:history="1">
        <w:r w:rsidR="00F727B6" w:rsidRPr="00AC7081">
          <w:rPr>
            <w:rFonts w:eastAsia="Times New Roman" w:cstheme="minorHAnsi"/>
            <w:color w:val="0000FF"/>
            <w:u w:val="single"/>
            <w:lang w:eastAsia="fr-FR"/>
          </w:rPr>
          <w:t>3.</w:t>
        </w:r>
      </w:hyperlink>
      <w:r w:rsidR="00F727B6" w:rsidRPr="00AC7081">
        <w:rPr>
          <w:rFonts w:eastAsia="Times New Roman" w:cstheme="minorHAnsi"/>
          <w:lang w:eastAsia="fr-FR"/>
        </w:rPr>
        <w:t xml:space="preserve"> « Les motivations de départ à la retraite », par Sabrina </w:t>
      </w:r>
      <w:proofErr w:type="spellStart"/>
      <w:r w:rsidR="00F727B6" w:rsidRPr="00AC7081">
        <w:rPr>
          <w:rFonts w:eastAsia="Times New Roman" w:cstheme="minorHAnsi"/>
          <w:lang w:eastAsia="fr-FR"/>
        </w:rPr>
        <w:t>Aouici</w:t>
      </w:r>
      <w:proofErr w:type="spellEnd"/>
      <w:r w:rsidR="00F727B6" w:rsidRPr="00AC7081">
        <w:rPr>
          <w:rFonts w:eastAsia="Times New Roman" w:cstheme="minorHAnsi"/>
          <w:lang w:eastAsia="fr-FR"/>
        </w:rPr>
        <w:t xml:space="preserve"> et Séverine Carillon, </w:t>
      </w:r>
      <w:r w:rsidR="00F727B6" w:rsidRPr="00AC7081">
        <w:rPr>
          <w:rFonts w:eastAsia="Times New Roman" w:cstheme="minorHAnsi"/>
          <w:i/>
          <w:iCs/>
          <w:lang w:eastAsia="fr-FR"/>
        </w:rPr>
        <w:t xml:space="preserve">Les cahiers de la </w:t>
      </w:r>
      <w:proofErr w:type="spellStart"/>
      <w:r w:rsidR="00F727B6" w:rsidRPr="00AC7081">
        <w:rPr>
          <w:rFonts w:eastAsia="Times New Roman" w:cstheme="minorHAnsi"/>
          <w:i/>
          <w:iCs/>
          <w:lang w:eastAsia="fr-FR"/>
        </w:rPr>
        <w:t>Cnav</w:t>
      </w:r>
      <w:proofErr w:type="spellEnd"/>
      <w:r w:rsidR="00F727B6" w:rsidRPr="00AC7081">
        <w:rPr>
          <w:rFonts w:eastAsia="Times New Roman" w:cstheme="minorHAnsi"/>
          <w:lang w:eastAsia="fr-FR"/>
        </w:rPr>
        <w:t xml:space="preserve"> n° 1, mai 2008.</w:t>
      </w:r>
    </w:p>
    <w:p w14:paraId="2D4EE776"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25" w:anchor="footnoteref4_kbekd8o" w:history="1">
        <w:r w:rsidR="00F727B6" w:rsidRPr="00AC7081">
          <w:rPr>
            <w:rFonts w:eastAsia="Times New Roman" w:cstheme="minorHAnsi"/>
            <w:color w:val="0000FF"/>
            <w:u w:val="single"/>
            <w:lang w:eastAsia="fr-FR"/>
          </w:rPr>
          <w:t>4.</w:t>
        </w:r>
      </w:hyperlink>
      <w:r w:rsidR="00F727B6" w:rsidRPr="00AC7081">
        <w:rPr>
          <w:rFonts w:eastAsia="Times New Roman" w:cstheme="minorHAnsi"/>
          <w:lang w:eastAsia="fr-FR"/>
        </w:rPr>
        <w:t xml:space="preserve"> « </w:t>
      </w:r>
      <w:hyperlink r:id="rId26" w:tgtFrame="_blank" w:history="1">
        <w:r w:rsidR="00F727B6" w:rsidRPr="00AC7081">
          <w:rPr>
            <w:rFonts w:eastAsia="Times New Roman" w:cstheme="minorHAnsi"/>
            <w:color w:val="0000FF"/>
            <w:u w:val="single"/>
            <w:lang w:eastAsia="fr-FR"/>
          </w:rPr>
          <w:t>Les effets du report de l’âge légal de la retraite à 62 ans : une approche par catégories socio-</w:t>
        </w:r>
        <w:r w:rsidR="00F727B6" w:rsidRPr="00AC7081">
          <w:rPr>
            <w:rFonts w:eastAsia="Times New Roman" w:cstheme="minorHAnsi"/>
            <w:color w:val="0000FF"/>
            <w:u w:val="single"/>
            <w:lang w:eastAsia="fr-FR"/>
          </w:rPr>
          <w:softHyphen/>
          <w:t>professionnelles</w:t>
        </w:r>
      </w:hyperlink>
      <w:r w:rsidR="00F727B6" w:rsidRPr="00AC7081">
        <w:rPr>
          <w:rFonts w:eastAsia="Times New Roman" w:cstheme="minorHAnsi"/>
          <w:lang w:eastAsia="fr-FR"/>
        </w:rPr>
        <w:t> », par Michaël Zemmour, note de recherche, juin 2022</w:t>
      </w:r>
    </w:p>
    <w:p w14:paraId="471276B4"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27" w:anchor="footnoteref5_6t3qbfl" w:history="1">
        <w:r w:rsidR="00F727B6" w:rsidRPr="00AC7081">
          <w:rPr>
            <w:rFonts w:eastAsia="Times New Roman" w:cstheme="minorHAnsi"/>
            <w:color w:val="0000FF"/>
            <w:u w:val="single"/>
            <w:lang w:eastAsia="fr-FR"/>
          </w:rPr>
          <w:t>5.</w:t>
        </w:r>
      </w:hyperlink>
      <w:r w:rsidR="00F727B6" w:rsidRPr="00AC7081">
        <w:rPr>
          <w:rFonts w:eastAsia="Times New Roman" w:cstheme="minorHAnsi"/>
          <w:lang w:eastAsia="fr-FR"/>
        </w:rPr>
        <w:t xml:space="preserve"> « Un tiers des seniors sans emploi ni retraite vivent en dessous du seuil de pauvreté », par Aurélien D’</w:t>
      </w:r>
      <w:proofErr w:type="spellStart"/>
      <w:r w:rsidR="00F727B6" w:rsidRPr="00AC7081">
        <w:rPr>
          <w:rFonts w:eastAsia="Times New Roman" w:cstheme="minorHAnsi"/>
          <w:lang w:eastAsia="fr-FR"/>
        </w:rPr>
        <w:t>Isanto</w:t>
      </w:r>
      <w:proofErr w:type="spellEnd"/>
      <w:r w:rsidR="00F727B6" w:rsidRPr="00AC7081">
        <w:rPr>
          <w:rFonts w:eastAsia="Times New Roman" w:cstheme="minorHAnsi"/>
          <w:lang w:eastAsia="fr-FR"/>
        </w:rPr>
        <w:t xml:space="preserve">, Jérôme </w:t>
      </w:r>
      <w:proofErr w:type="spellStart"/>
      <w:r w:rsidR="00F727B6" w:rsidRPr="00AC7081">
        <w:rPr>
          <w:rFonts w:eastAsia="Times New Roman" w:cstheme="minorHAnsi"/>
          <w:lang w:eastAsia="fr-FR"/>
        </w:rPr>
        <w:t>Hananel</w:t>
      </w:r>
      <w:proofErr w:type="spellEnd"/>
      <w:r w:rsidR="00F727B6" w:rsidRPr="00AC7081">
        <w:rPr>
          <w:rFonts w:eastAsia="Times New Roman" w:cstheme="minorHAnsi"/>
          <w:lang w:eastAsia="fr-FR"/>
        </w:rPr>
        <w:t xml:space="preserve">, Yoann </w:t>
      </w:r>
      <w:proofErr w:type="spellStart"/>
      <w:r w:rsidR="00F727B6" w:rsidRPr="00AC7081">
        <w:rPr>
          <w:rFonts w:eastAsia="Times New Roman" w:cstheme="minorHAnsi"/>
          <w:lang w:eastAsia="fr-FR"/>
        </w:rPr>
        <w:t>Musiedlak</w:t>
      </w:r>
      <w:proofErr w:type="spellEnd"/>
      <w:r w:rsidR="00F727B6" w:rsidRPr="00AC7081">
        <w:rPr>
          <w:rFonts w:eastAsia="Times New Roman" w:cstheme="minorHAnsi"/>
          <w:lang w:eastAsia="fr-FR"/>
        </w:rPr>
        <w:t>, Etudes et résultats n° 1079, Drees, septembre 2018.</w:t>
      </w:r>
    </w:p>
    <w:p w14:paraId="2A60B341"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28" w:anchor="footnoteref6_5ucw3he" w:history="1">
        <w:r w:rsidR="00F727B6" w:rsidRPr="00AC7081">
          <w:rPr>
            <w:rFonts w:eastAsia="Times New Roman" w:cstheme="minorHAnsi"/>
            <w:color w:val="0000FF"/>
            <w:u w:val="single"/>
            <w:lang w:eastAsia="fr-FR"/>
          </w:rPr>
          <w:t>6.</w:t>
        </w:r>
      </w:hyperlink>
      <w:r w:rsidR="00F727B6" w:rsidRPr="00AC7081">
        <w:rPr>
          <w:rFonts w:eastAsia="Times New Roman" w:cstheme="minorHAnsi"/>
          <w:lang w:eastAsia="fr-FR"/>
        </w:rPr>
        <w:t xml:space="preserve"> « Baromètre Apec des intentions de recrutement et de mobilité des cadres », 1er trimestre 2021</w:t>
      </w:r>
    </w:p>
    <w:p w14:paraId="5AC9929D"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29" w:anchor="footnoteref7_benlzjf" w:history="1">
        <w:r w:rsidR="00F727B6" w:rsidRPr="00AC7081">
          <w:rPr>
            <w:rFonts w:eastAsia="Times New Roman" w:cstheme="minorHAnsi"/>
            <w:color w:val="0000FF"/>
            <w:u w:val="single"/>
            <w:lang w:eastAsia="fr-FR"/>
          </w:rPr>
          <w:t>7.</w:t>
        </w:r>
      </w:hyperlink>
      <w:r w:rsidR="00F727B6" w:rsidRPr="00AC7081">
        <w:rPr>
          <w:rFonts w:eastAsia="Times New Roman" w:cstheme="minorHAnsi"/>
          <w:lang w:eastAsia="fr-FR"/>
        </w:rPr>
        <w:t xml:space="preserve"> « Les motivations de départ à la retraite », par Sabrina </w:t>
      </w:r>
      <w:proofErr w:type="spellStart"/>
      <w:r w:rsidR="00F727B6" w:rsidRPr="00AC7081">
        <w:rPr>
          <w:rFonts w:eastAsia="Times New Roman" w:cstheme="minorHAnsi"/>
          <w:lang w:eastAsia="fr-FR"/>
        </w:rPr>
        <w:t>Aouici</w:t>
      </w:r>
      <w:proofErr w:type="spellEnd"/>
      <w:r w:rsidR="00F727B6" w:rsidRPr="00AC7081">
        <w:rPr>
          <w:rFonts w:eastAsia="Times New Roman" w:cstheme="minorHAnsi"/>
          <w:lang w:eastAsia="fr-FR"/>
        </w:rPr>
        <w:t xml:space="preserve"> et Séverine Carillon, Les cahiers de la </w:t>
      </w:r>
      <w:proofErr w:type="spellStart"/>
      <w:r w:rsidR="00F727B6" w:rsidRPr="00AC7081">
        <w:rPr>
          <w:rFonts w:eastAsia="Times New Roman" w:cstheme="minorHAnsi"/>
          <w:lang w:eastAsia="fr-FR"/>
        </w:rPr>
        <w:t>Cnav</w:t>
      </w:r>
      <w:proofErr w:type="spellEnd"/>
      <w:r w:rsidR="00F727B6" w:rsidRPr="00AC7081">
        <w:rPr>
          <w:rFonts w:eastAsia="Times New Roman" w:cstheme="minorHAnsi"/>
          <w:lang w:eastAsia="fr-FR"/>
        </w:rPr>
        <w:t xml:space="preserve"> n° 1, mai 2008</w:t>
      </w:r>
    </w:p>
    <w:p w14:paraId="020A6E40"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30" w:anchor="footnoteref8_nchzdl0" w:history="1">
        <w:r w:rsidR="00F727B6" w:rsidRPr="00AC7081">
          <w:rPr>
            <w:rFonts w:eastAsia="Times New Roman" w:cstheme="minorHAnsi"/>
            <w:color w:val="0000FF"/>
            <w:u w:val="single"/>
            <w:lang w:eastAsia="fr-FR"/>
          </w:rPr>
          <w:t>8.</w:t>
        </w:r>
      </w:hyperlink>
      <w:r w:rsidR="00F727B6" w:rsidRPr="00AC7081">
        <w:rPr>
          <w:rFonts w:eastAsia="Times New Roman" w:cstheme="minorHAnsi"/>
          <w:lang w:eastAsia="fr-FR"/>
        </w:rPr>
        <w:t xml:space="preserve"> « Les seniors, l’emploi et la retraite », par Emmanuelle </w:t>
      </w:r>
      <w:proofErr w:type="spellStart"/>
      <w:r w:rsidR="00F727B6" w:rsidRPr="00AC7081">
        <w:rPr>
          <w:rFonts w:eastAsia="Times New Roman" w:cstheme="minorHAnsi"/>
          <w:lang w:eastAsia="fr-FR"/>
        </w:rPr>
        <w:t>Prouet</w:t>
      </w:r>
      <w:proofErr w:type="spellEnd"/>
      <w:r w:rsidR="00F727B6" w:rsidRPr="00AC7081">
        <w:rPr>
          <w:rFonts w:eastAsia="Times New Roman" w:cstheme="minorHAnsi"/>
          <w:lang w:eastAsia="fr-FR"/>
        </w:rPr>
        <w:t xml:space="preserve"> et Julien </w:t>
      </w:r>
      <w:proofErr w:type="spellStart"/>
      <w:r w:rsidR="00F727B6" w:rsidRPr="00AC7081">
        <w:rPr>
          <w:rFonts w:eastAsia="Times New Roman" w:cstheme="minorHAnsi"/>
          <w:lang w:eastAsia="fr-FR"/>
        </w:rPr>
        <w:t>Rousselon</w:t>
      </w:r>
      <w:proofErr w:type="spellEnd"/>
      <w:r w:rsidR="00F727B6" w:rsidRPr="00AC7081">
        <w:rPr>
          <w:rFonts w:eastAsia="Times New Roman" w:cstheme="minorHAnsi"/>
          <w:lang w:eastAsia="fr-FR"/>
        </w:rPr>
        <w:t>, France Stratégie, octobre 2018</w:t>
      </w:r>
    </w:p>
    <w:p w14:paraId="65343F3A"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31" w:anchor="footnoteref9_ginb3fs" w:history="1">
        <w:r w:rsidR="00F727B6" w:rsidRPr="00AC7081">
          <w:rPr>
            <w:rFonts w:eastAsia="Times New Roman" w:cstheme="minorHAnsi"/>
            <w:color w:val="0000FF"/>
            <w:u w:val="single"/>
            <w:lang w:eastAsia="fr-FR"/>
          </w:rPr>
          <w:t>9.</w:t>
        </w:r>
      </w:hyperlink>
      <w:r w:rsidR="00F727B6" w:rsidRPr="00AC7081">
        <w:rPr>
          <w:rFonts w:eastAsia="Times New Roman" w:cstheme="minorHAnsi"/>
          <w:lang w:eastAsia="fr-FR"/>
        </w:rPr>
        <w:t xml:space="preserve"> « L’emploi des seniors en France », Trésor-éco n° 302, février 2022</w:t>
      </w:r>
    </w:p>
    <w:p w14:paraId="206A73D5"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32" w:anchor="footnoteref10_4l5y88k" w:history="1">
        <w:r w:rsidR="00F727B6" w:rsidRPr="00AC7081">
          <w:rPr>
            <w:rFonts w:eastAsia="Times New Roman" w:cstheme="minorHAnsi"/>
            <w:color w:val="0000FF"/>
            <w:u w:val="single"/>
            <w:lang w:eastAsia="fr-FR"/>
          </w:rPr>
          <w:t>10.</w:t>
        </w:r>
      </w:hyperlink>
      <w:r w:rsidR="00F727B6" w:rsidRPr="00AC7081">
        <w:rPr>
          <w:rFonts w:eastAsia="Times New Roman" w:cstheme="minorHAnsi"/>
          <w:lang w:eastAsia="fr-FR"/>
        </w:rPr>
        <w:t xml:space="preserve">  </w:t>
      </w:r>
      <w:proofErr w:type="spellStart"/>
      <w:r w:rsidR="00F727B6" w:rsidRPr="00AC7081">
        <w:rPr>
          <w:rFonts w:eastAsia="Times New Roman" w:cstheme="minorHAnsi"/>
          <w:lang w:eastAsia="fr-FR"/>
        </w:rPr>
        <w:t>Eurobarometer</w:t>
      </w:r>
      <w:proofErr w:type="spellEnd"/>
      <w:r w:rsidR="00F727B6" w:rsidRPr="00AC7081">
        <w:rPr>
          <w:rFonts w:eastAsia="Times New Roman" w:cstheme="minorHAnsi"/>
          <w:lang w:eastAsia="fr-FR"/>
        </w:rPr>
        <w:t xml:space="preserve"> (2015), « Discrimination in the EU </w:t>
      </w:r>
      <w:proofErr w:type="spellStart"/>
      <w:r w:rsidR="00F727B6" w:rsidRPr="00AC7081">
        <w:rPr>
          <w:rFonts w:eastAsia="Times New Roman" w:cstheme="minorHAnsi"/>
          <w:lang w:eastAsia="fr-FR"/>
        </w:rPr>
        <w:t>in</w:t>
      </w:r>
      <w:proofErr w:type="spellEnd"/>
      <w:r w:rsidR="00F727B6" w:rsidRPr="00AC7081">
        <w:rPr>
          <w:rFonts w:eastAsia="Times New Roman" w:cstheme="minorHAnsi"/>
          <w:lang w:eastAsia="fr-FR"/>
        </w:rPr>
        <w:t xml:space="preserve"> 2015 »</w:t>
      </w:r>
    </w:p>
    <w:p w14:paraId="2EEA821B"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33" w:anchor="footnoteref11_zfo1j4c" w:history="1">
        <w:r w:rsidR="00F727B6" w:rsidRPr="00AC7081">
          <w:rPr>
            <w:rFonts w:eastAsia="Times New Roman" w:cstheme="minorHAnsi"/>
            <w:color w:val="0000FF"/>
            <w:u w:val="single"/>
            <w:lang w:eastAsia="fr-FR"/>
          </w:rPr>
          <w:t>11.</w:t>
        </w:r>
      </w:hyperlink>
      <w:r w:rsidR="00F727B6" w:rsidRPr="00AC7081">
        <w:rPr>
          <w:rFonts w:eastAsia="Times New Roman" w:cstheme="minorHAnsi"/>
          <w:lang w:eastAsia="fr-FR"/>
        </w:rPr>
        <w:t xml:space="preserve">  Selon l’enquête « Santé et vie professionnelle après 50 ans », 2005</w:t>
      </w:r>
    </w:p>
    <w:p w14:paraId="758E0379"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34" w:anchor="footnoteref12_0dhnfpc" w:history="1">
        <w:r w:rsidR="00F727B6" w:rsidRPr="00AC7081">
          <w:rPr>
            <w:rFonts w:eastAsia="Times New Roman" w:cstheme="minorHAnsi"/>
            <w:color w:val="0000FF"/>
            <w:u w:val="single"/>
            <w:lang w:eastAsia="fr-FR"/>
          </w:rPr>
          <w:t>12.</w:t>
        </w:r>
      </w:hyperlink>
      <w:r w:rsidR="00F727B6" w:rsidRPr="00AC7081">
        <w:rPr>
          <w:rFonts w:eastAsia="Times New Roman" w:cstheme="minorHAnsi"/>
          <w:lang w:eastAsia="fr-FR"/>
        </w:rPr>
        <w:t xml:space="preserve"> « Retraites : le recul de l’âge minimal a peu d’effet sur les motivations de départ », Etudes et résultats n° 902, Drees, janvier </w:t>
      </w:r>
      <w:proofErr w:type="gramStart"/>
      <w:r w:rsidR="00F727B6" w:rsidRPr="00AC7081">
        <w:rPr>
          <w:rFonts w:eastAsia="Times New Roman" w:cstheme="minorHAnsi"/>
          <w:lang w:eastAsia="fr-FR"/>
        </w:rPr>
        <w:t>2015..</w:t>
      </w:r>
      <w:proofErr w:type="gramEnd"/>
    </w:p>
    <w:p w14:paraId="6428259A"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35" w:anchor="footnoteref13_i2cp0pq" w:history="1">
        <w:r w:rsidR="00F727B6" w:rsidRPr="00AC7081">
          <w:rPr>
            <w:rFonts w:eastAsia="Times New Roman" w:cstheme="minorHAnsi"/>
            <w:color w:val="0000FF"/>
            <w:u w:val="single"/>
            <w:lang w:eastAsia="fr-FR"/>
          </w:rPr>
          <w:t>13.</w:t>
        </w:r>
      </w:hyperlink>
      <w:r w:rsidR="00F727B6" w:rsidRPr="00AC7081">
        <w:rPr>
          <w:rFonts w:eastAsia="Times New Roman" w:cstheme="minorHAnsi"/>
          <w:lang w:eastAsia="fr-FR"/>
        </w:rPr>
        <w:t xml:space="preserve"> « Formation professionnelle : quels facteurs limitent l’accès des salariés seniors ? », Dares analyses n° 31, juin 2016.</w:t>
      </w:r>
    </w:p>
    <w:p w14:paraId="73376D78"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36" w:anchor="footnoteref14_3w0w95j" w:history="1">
        <w:r w:rsidR="00F727B6" w:rsidRPr="00AC7081">
          <w:rPr>
            <w:rFonts w:eastAsia="Times New Roman" w:cstheme="minorHAnsi"/>
            <w:color w:val="0000FF"/>
            <w:u w:val="single"/>
            <w:lang w:eastAsia="fr-FR"/>
          </w:rPr>
          <w:t>14.</w:t>
        </w:r>
      </w:hyperlink>
      <w:r w:rsidR="00F727B6" w:rsidRPr="00AC7081">
        <w:rPr>
          <w:rFonts w:eastAsia="Times New Roman" w:cstheme="minorHAnsi"/>
          <w:lang w:eastAsia="fr-FR"/>
        </w:rPr>
        <w:t xml:space="preserve"> « L’emploi des seniors en France », Trésor-éco n° 302, février 2022</w:t>
      </w:r>
    </w:p>
    <w:p w14:paraId="306F7D58"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37" w:anchor="footnoteref15_62tu70l" w:history="1">
        <w:r w:rsidR="00F727B6" w:rsidRPr="00AC7081">
          <w:rPr>
            <w:rFonts w:eastAsia="Times New Roman" w:cstheme="minorHAnsi"/>
            <w:color w:val="0000FF"/>
            <w:u w:val="single"/>
            <w:lang w:eastAsia="fr-FR"/>
          </w:rPr>
          <w:t>15.</w:t>
        </w:r>
      </w:hyperlink>
      <w:r w:rsidR="00F727B6" w:rsidRPr="00AC7081">
        <w:rPr>
          <w:rFonts w:eastAsia="Times New Roman" w:cstheme="minorHAnsi"/>
          <w:lang w:eastAsia="fr-FR"/>
        </w:rPr>
        <w:t xml:space="preserve"> « Formation continue des salariés en Europe : les écarts entre pays se réduisent encore », Bref du </w:t>
      </w:r>
      <w:proofErr w:type="spellStart"/>
      <w:r w:rsidR="00F727B6" w:rsidRPr="00AC7081">
        <w:rPr>
          <w:rFonts w:eastAsia="Times New Roman" w:cstheme="minorHAnsi"/>
          <w:lang w:eastAsia="fr-FR"/>
        </w:rPr>
        <w:t>Céreq</w:t>
      </w:r>
      <w:proofErr w:type="spellEnd"/>
      <w:r w:rsidR="00F727B6" w:rsidRPr="00AC7081">
        <w:rPr>
          <w:rFonts w:eastAsia="Times New Roman" w:cstheme="minorHAnsi"/>
          <w:lang w:eastAsia="fr-FR"/>
        </w:rPr>
        <w:t xml:space="preserve"> n° 312, juillet 2013</w:t>
      </w:r>
    </w:p>
    <w:p w14:paraId="40287069" w14:textId="77777777" w:rsidR="00F727B6" w:rsidRPr="00AC7081" w:rsidRDefault="00000000" w:rsidP="00AC7081">
      <w:pPr>
        <w:numPr>
          <w:ilvl w:val="0"/>
          <w:numId w:val="4"/>
        </w:numPr>
        <w:spacing w:before="100" w:beforeAutospacing="1" w:after="100" w:afterAutospacing="1" w:line="240" w:lineRule="auto"/>
        <w:jc w:val="both"/>
        <w:rPr>
          <w:rFonts w:eastAsia="Times New Roman" w:cstheme="minorHAnsi"/>
          <w:lang w:eastAsia="fr-FR"/>
        </w:rPr>
      </w:pPr>
      <w:hyperlink r:id="rId38" w:anchor="footnoteref16_g4ng7wt" w:history="1">
        <w:r w:rsidR="00F727B6" w:rsidRPr="00AC7081">
          <w:rPr>
            <w:rFonts w:eastAsia="Times New Roman" w:cstheme="minorHAnsi"/>
            <w:color w:val="0000FF"/>
            <w:u w:val="single"/>
            <w:lang w:eastAsia="fr-FR"/>
          </w:rPr>
          <w:t>16.</w:t>
        </w:r>
      </w:hyperlink>
      <w:r w:rsidR="00F727B6" w:rsidRPr="00AC7081">
        <w:rPr>
          <w:rFonts w:eastAsia="Times New Roman" w:cstheme="minorHAnsi"/>
          <w:lang w:eastAsia="fr-FR"/>
        </w:rPr>
        <w:t xml:space="preserve"> « Etude comparative sur les pays européens ayant un taux d’emploi des seniors élevé », rapport au COR, OFCE, 2007.</w:t>
      </w:r>
    </w:p>
    <w:p w14:paraId="6A6D4502" w14:textId="77777777" w:rsidR="00163B4D" w:rsidRPr="00AC7081" w:rsidRDefault="00163B4D" w:rsidP="00AC7081">
      <w:pPr>
        <w:jc w:val="both"/>
        <w:rPr>
          <w:rFonts w:cstheme="minorHAnsi"/>
        </w:rPr>
      </w:pPr>
    </w:p>
    <w:sectPr w:rsidR="00163B4D" w:rsidRPr="00AC7081" w:rsidSect="00AC70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91C0E"/>
    <w:multiLevelType w:val="multilevel"/>
    <w:tmpl w:val="FD5A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C2B35"/>
    <w:multiLevelType w:val="multilevel"/>
    <w:tmpl w:val="A558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CF7644"/>
    <w:multiLevelType w:val="multilevel"/>
    <w:tmpl w:val="D29E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D14344"/>
    <w:multiLevelType w:val="multilevel"/>
    <w:tmpl w:val="94A0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152368">
    <w:abstractNumId w:val="1"/>
  </w:num>
  <w:num w:numId="2" w16cid:durableId="565602936">
    <w:abstractNumId w:val="0"/>
  </w:num>
  <w:num w:numId="3" w16cid:durableId="1956328002">
    <w:abstractNumId w:val="3"/>
  </w:num>
  <w:num w:numId="4" w16cid:durableId="692658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7B6"/>
    <w:rsid w:val="00163B4D"/>
    <w:rsid w:val="007F5BE2"/>
    <w:rsid w:val="00AC7081"/>
    <w:rsid w:val="00F727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2B28"/>
  <w15:docId w15:val="{827892CD-B859-4D0A-814A-7BBE39EF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727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727B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727B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F727B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27B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727B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727B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F727B6"/>
    <w:rPr>
      <w:rFonts w:ascii="Times New Roman" w:eastAsia="Times New Roman" w:hAnsi="Times New Roman" w:cs="Times New Roman"/>
      <w:b/>
      <w:bCs/>
      <w:sz w:val="24"/>
      <w:szCs w:val="24"/>
      <w:lang w:eastAsia="fr-FR"/>
    </w:rPr>
  </w:style>
  <w:style w:type="character" w:customStyle="1" w:styleId="o-headsurtitle">
    <w:name w:val="o-head__surtitle"/>
    <w:basedOn w:val="Policepardfaut"/>
    <w:rsid w:val="00F727B6"/>
  </w:style>
  <w:style w:type="character" w:customStyle="1" w:styleId="o-infosread-time">
    <w:name w:val="o-infos__read-time"/>
    <w:basedOn w:val="Policepardfaut"/>
    <w:rsid w:val="00F727B6"/>
  </w:style>
  <w:style w:type="character" w:customStyle="1" w:styleId="read-time">
    <w:name w:val="read-time"/>
    <w:basedOn w:val="Policepardfaut"/>
    <w:rsid w:val="00F727B6"/>
  </w:style>
  <w:style w:type="paragraph" w:styleId="NormalWeb">
    <w:name w:val="Normal (Web)"/>
    <w:basedOn w:val="Normal"/>
    <w:uiPriority w:val="99"/>
    <w:semiHidden/>
    <w:unhideWhenUsed/>
    <w:rsid w:val="00F727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727B6"/>
    <w:rPr>
      <w:color w:val="0000FF"/>
      <w:u w:val="single"/>
    </w:rPr>
  </w:style>
  <w:style w:type="character" w:customStyle="1" w:styleId="u-vishidden">
    <w:name w:val="u-vishidden"/>
    <w:basedOn w:val="Policepardfaut"/>
    <w:rsid w:val="00F727B6"/>
  </w:style>
  <w:style w:type="character" w:styleId="Accentuation">
    <w:name w:val="Emphasis"/>
    <w:basedOn w:val="Policepardfaut"/>
    <w:uiPriority w:val="20"/>
    <w:qFormat/>
    <w:rsid w:val="00F727B6"/>
    <w:rPr>
      <w:i/>
      <w:iCs/>
    </w:rPr>
  </w:style>
  <w:style w:type="character" w:customStyle="1" w:styleId="typo-widget-title">
    <w:name w:val="typo-widget-title"/>
    <w:basedOn w:val="Policepardfaut"/>
    <w:rsid w:val="00F727B6"/>
  </w:style>
  <w:style w:type="character" w:customStyle="1" w:styleId="c-kiosk--singleinfos">
    <w:name w:val="c-kiosk--single__infos"/>
    <w:basedOn w:val="Policepardfaut"/>
    <w:rsid w:val="00F727B6"/>
  </w:style>
  <w:style w:type="character" w:styleId="lev">
    <w:name w:val="Strong"/>
    <w:basedOn w:val="Policepardfaut"/>
    <w:uiPriority w:val="22"/>
    <w:qFormat/>
    <w:rsid w:val="00F727B6"/>
    <w:rPr>
      <w:b/>
      <w:bCs/>
    </w:rPr>
  </w:style>
  <w:style w:type="paragraph" w:styleId="Textedebulles">
    <w:name w:val="Balloon Text"/>
    <w:basedOn w:val="Normal"/>
    <w:link w:val="TextedebullesCar"/>
    <w:uiPriority w:val="99"/>
    <w:semiHidden/>
    <w:unhideWhenUsed/>
    <w:rsid w:val="00F727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2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684201">
      <w:bodyDiv w:val="1"/>
      <w:marLeft w:val="0"/>
      <w:marRight w:val="0"/>
      <w:marTop w:val="0"/>
      <w:marBottom w:val="0"/>
      <w:divBdr>
        <w:top w:val="none" w:sz="0" w:space="0" w:color="auto"/>
        <w:left w:val="none" w:sz="0" w:space="0" w:color="auto"/>
        <w:bottom w:val="none" w:sz="0" w:space="0" w:color="auto"/>
        <w:right w:val="none" w:sz="0" w:space="0" w:color="auto"/>
      </w:divBdr>
      <w:divsChild>
        <w:div w:id="774978303">
          <w:marLeft w:val="0"/>
          <w:marRight w:val="0"/>
          <w:marTop w:val="0"/>
          <w:marBottom w:val="0"/>
          <w:divBdr>
            <w:top w:val="none" w:sz="0" w:space="0" w:color="auto"/>
            <w:left w:val="none" w:sz="0" w:space="0" w:color="auto"/>
            <w:bottom w:val="none" w:sz="0" w:space="0" w:color="auto"/>
            <w:right w:val="none" w:sz="0" w:space="0" w:color="auto"/>
          </w:divBdr>
        </w:div>
        <w:div w:id="87503595">
          <w:marLeft w:val="0"/>
          <w:marRight w:val="0"/>
          <w:marTop w:val="0"/>
          <w:marBottom w:val="0"/>
          <w:divBdr>
            <w:top w:val="none" w:sz="0" w:space="0" w:color="auto"/>
            <w:left w:val="none" w:sz="0" w:space="0" w:color="auto"/>
            <w:bottom w:val="none" w:sz="0" w:space="0" w:color="auto"/>
            <w:right w:val="none" w:sz="0" w:space="0" w:color="auto"/>
          </w:divBdr>
          <w:divsChild>
            <w:div w:id="1950818538">
              <w:marLeft w:val="0"/>
              <w:marRight w:val="0"/>
              <w:marTop w:val="0"/>
              <w:marBottom w:val="0"/>
              <w:divBdr>
                <w:top w:val="none" w:sz="0" w:space="0" w:color="auto"/>
                <w:left w:val="none" w:sz="0" w:space="0" w:color="auto"/>
                <w:bottom w:val="none" w:sz="0" w:space="0" w:color="auto"/>
                <w:right w:val="none" w:sz="0" w:space="0" w:color="auto"/>
              </w:divBdr>
            </w:div>
            <w:div w:id="1557742847">
              <w:marLeft w:val="0"/>
              <w:marRight w:val="0"/>
              <w:marTop w:val="0"/>
              <w:marBottom w:val="0"/>
              <w:divBdr>
                <w:top w:val="none" w:sz="0" w:space="0" w:color="auto"/>
                <w:left w:val="none" w:sz="0" w:space="0" w:color="auto"/>
                <w:bottom w:val="none" w:sz="0" w:space="0" w:color="auto"/>
                <w:right w:val="none" w:sz="0" w:space="0" w:color="auto"/>
              </w:divBdr>
            </w:div>
          </w:divsChild>
        </w:div>
        <w:div w:id="1803300891">
          <w:marLeft w:val="0"/>
          <w:marRight w:val="0"/>
          <w:marTop w:val="0"/>
          <w:marBottom w:val="0"/>
          <w:divBdr>
            <w:top w:val="none" w:sz="0" w:space="0" w:color="auto"/>
            <w:left w:val="none" w:sz="0" w:space="0" w:color="auto"/>
            <w:bottom w:val="none" w:sz="0" w:space="0" w:color="auto"/>
            <w:right w:val="none" w:sz="0" w:space="0" w:color="auto"/>
          </w:divBdr>
        </w:div>
        <w:div w:id="412090823">
          <w:marLeft w:val="0"/>
          <w:marRight w:val="0"/>
          <w:marTop w:val="0"/>
          <w:marBottom w:val="0"/>
          <w:divBdr>
            <w:top w:val="none" w:sz="0" w:space="0" w:color="auto"/>
            <w:left w:val="none" w:sz="0" w:space="0" w:color="auto"/>
            <w:bottom w:val="none" w:sz="0" w:space="0" w:color="auto"/>
            <w:right w:val="none" w:sz="0" w:space="0" w:color="auto"/>
          </w:divBdr>
          <w:divsChild>
            <w:div w:id="1669870463">
              <w:marLeft w:val="0"/>
              <w:marRight w:val="0"/>
              <w:marTop w:val="0"/>
              <w:marBottom w:val="0"/>
              <w:divBdr>
                <w:top w:val="none" w:sz="0" w:space="0" w:color="auto"/>
                <w:left w:val="none" w:sz="0" w:space="0" w:color="auto"/>
                <w:bottom w:val="none" w:sz="0" w:space="0" w:color="auto"/>
                <w:right w:val="none" w:sz="0" w:space="0" w:color="auto"/>
              </w:divBdr>
              <w:divsChild>
                <w:div w:id="823275062">
                  <w:marLeft w:val="0"/>
                  <w:marRight w:val="0"/>
                  <w:marTop w:val="0"/>
                  <w:marBottom w:val="0"/>
                  <w:divBdr>
                    <w:top w:val="none" w:sz="0" w:space="0" w:color="auto"/>
                    <w:left w:val="none" w:sz="0" w:space="0" w:color="auto"/>
                    <w:bottom w:val="none" w:sz="0" w:space="0" w:color="auto"/>
                    <w:right w:val="none" w:sz="0" w:space="0" w:color="auto"/>
                  </w:divBdr>
                  <w:divsChild>
                    <w:div w:id="895314929">
                      <w:marLeft w:val="0"/>
                      <w:marRight w:val="0"/>
                      <w:marTop w:val="0"/>
                      <w:marBottom w:val="0"/>
                      <w:divBdr>
                        <w:top w:val="none" w:sz="0" w:space="0" w:color="auto"/>
                        <w:left w:val="none" w:sz="0" w:space="0" w:color="auto"/>
                        <w:bottom w:val="none" w:sz="0" w:space="0" w:color="auto"/>
                        <w:right w:val="none" w:sz="0" w:space="0" w:color="auto"/>
                      </w:divBdr>
                      <w:divsChild>
                        <w:div w:id="1297103420">
                          <w:marLeft w:val="0"/>
                          <w:marRight w:val="0"/>
                          <w:marTop w:val="0"/>
                          <w:marBottom w:val="0"/>
                          <w:divBdr>
                            <w:top w:val="none" w:sz="0" w:space="0" w:color="auto"/>
                            <w:left w:val="none" w:sz="0" w:space="0" w:color="auto"/>
                            <w:bottom w:val="none" w:sz="0" w:space="0" w:color="auto"/>
                            <w:right w:val="none" w:sz="0" w:space="0" w:color="auto"/>
                          </w:divBdr>
                          <w:divsChild>
                            <w:div w:id="1928032689">
                              <w:marLeft w:val="0"/>
                              <w:marRight w:val="0"/>
                              <w:marTop w:val="0"/>
                              <w:marBottom w:val="0"/>
                              <w:divBdr>
                                <w:top w:val="none" w:sz="0" w:space="0" w:color="auto"/>
                                <w:left w:val="none" w:sz="0" w:space="0" w:color="auto"/>
                                <w:bottom w:val="none" w:sz="0" w:space="0" w:color="auto"/>
                                <w:right w:val="none" w:sz="0" w:space="0" w:color="auto"/>
                              </w:divBdr>
                              <w:divsChild>
                                <w:div w:id="1672176965">
                                  <w:marLeft w:val="0"/>
                                  <w:marRight w:val="0"/>
                                  <w:marTop w:val="0"/>
                                  <w:marBottom w:val="0"/>
                                  <w:divBdr>
                                    <w:top w:val="none" w:sz="0" w:space="0" w:color="auto"/>
                                    <w:left w:val="none" w:sz="0" w:space="0" w:color="auto"/>
                                    <w:bottom w:val="none" w:sz="0" w:space="0" w:color="auto"/>
                                    <w:right w:val="none" w:sz="0" w:space="0" w:color="auto"/>
                                  </w:divBdr>
                                  <w:divsChild>
                                    <w:div w:id="1540780456">
                                      <w:marLeft w:val="0"/>
                                      <w:marRight w:val="0"/>
                                      <w:marTop w:val="0"/>
                                      <w:marBottom w:val="0"/>
                                      <w:divBdr>
                                        <w:top w:val="none" w:sz="0" w:space="0" w:color="auto"/>
                                        <w:left w:val="none" w:sz="0" w:space="0" w:color="auto"/>
                                        <w:bottom w:val="none" w:sz="0" w:space="0" w:color="auto"/>
                                        <w:right w:val="none" w:sz="0" w:space="0" w:color="auto"/>
                                      </w:divBdr>
                                      <w:divsChild>
                                        <w:div w:id="460265920">
                                          <w:marLeft w:val="0"/>
                                          <w:marRight w:val="0"/>
                                          <w:marTop w:val="0"/>
                                          <w:marBottom w:val="0"/>
                                          <w:divBdr>
                                            <w:top w:val="none" w:sz="0" w:space="0" w:color="auto"/>
                                            <w:left w:val="none" w:sz="0" w:space="0" w:color="auto"/>
                                            <w:bottom w:val="none" w:sz="0" w:space="0" w:color="auto"/>
                                            <w:right w:val="none" w:sz="0" w:space="0" w:color="auto"/>
                                          </w:divBdr>
                                          <w:divsChild>
                                            <w:div w:id="5723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957511">
          <w:marLeft w:val="0"/>
          <w:marRight w:val="0"/>
          <w:marTop w:val="0"/>
          <w:marBottom w:val="0"/>
          <w:divBdr>
            <w:top w:val="none" w:sz="0" w:space="0" w:color="auto"/>
            <w:left w:val="none" w:sz="0" w:space="0" w:color="auto"/>
            <w:bottom w:val="none" w:sz="0" w:space="0" w:color="auto"/>
            <w:right w:val="none" w:sz="0" w:space="0" w:color="auto"/>
          </w:divBdr>
          <w:divsChild>
            <w:div w:id="2045863556">
              <w:marLeft w:val="0"/>
              <w:marRight w:val="0"/>
              <w:marTop w:val="0"/>
              <w:marBottom w:val="0"/>
              <w:divBdr>
                <w:top w:val="none" w:sz="0" w:space="0" w:color="auto"/>
                <w:left w:val="none" w:sz="0" w:space="0" w:color="auto"/>
                <w:bottom w:val="none" w:sz="0" w:space="0" w:color="auto"/>
                <w:right w:val="none" w:sz="0" w:space="0" w:color="auto"/>
              </w:divBdr>
              <w:divsChild>
                <w:div w:id="1347907518">
                  <w:marLeft w:val="0"/>
                  <w:marRight w:val="0"/>
                  <w:marTop w:val="0"/>
                  <w:marBottom w:val="0"/>
                  <w:divBdr>
                    <w:top w:val="none" w:sz="0" w:space="0" w:color="auto"/>
                    <w:left w:val="none" w:sz="0" w:space="0" w:color="auto"/>
                    <w:bottom w:val="none" w:sz="0" w:space="0" w:color="auto"/>
                    <w:right w:val="none" w:sz="0" w:space="0" w:color="auto"/>
                  </w:divBdr>
                  <w:divsChild>
                    <w:div w:id="1367752484">
                      <w:marLeft w:val="0"/>
                      <w:marRight w:val="0"/>
                      <w:marTop w:val="0"/>
                      <w:marBottom w:val="0"/>
                      <w:divBdr>
                        <w:top w:val="none" w:sz="0" w:space="0" w:color="auto"/>
                        <w:left w:val="none" w:sz="0" w:space="0" w:color="auto"/>
                        <w:bottom w:val="none" w:sz="0" w:space="0" w:color="auto"/>
                        <w:right w:val="none" w:sz="0" w:space="0" w:color="auto"/>
                      </w:divBdr>
                      <w:divsChild>
                        <w:div w:id="1563173015">
                          <w:marLeft w:val="0"/>
                          <w:marRight w:val="0"/>
                          <w:marTop w:val="0"/>
                          <w:marBottom w:val="0"/>
                          <w:divBdr>
                            <w:top w:val="none" w:sz="0" w:space="0" w:color="auto"/>
                            <w:left w:val="none" w:sz="0" w:space="0" w:color="auto"/>
                            <w:bottom w:val="none" w:sz="0" w:space="0" w:color="auto"/>
                            <w:right w:val="none" w:sz="0" w:space="0" w:color="auto"/>
                          </w:divBdr>
                          <w:divsChild>
                            <w:div w:id="1531530761">
                              <w:marLeft w:val="0"/>
                              <w:marRight w:val="0"/>
                              <w:marTop w:val="0"/>
                              <w:marBottom w:val="0"/>
                              <w:divBdr>
                                <w:top w:val="none" w:sz="0" w:space="0" w:color="auto"/>
                                <w:left w:val="none" w:sz="0" w:space="0" w:color="auto"/>
                                <w:bottom w:val="none" w:sz="0" w:space="0" w:color="auto"/>
                                <w:right w:val="none" w:sz="0" w:space="0" w:color="auto"/>
                              </w:divBdr>
                              <w:divsChild>
                                <w:div w:id="1240990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016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2005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586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343539">
                              <w:marLeft w:val="0"/>
                              <w:marRight w:val="0"/>
                              <w:marTop w:val="0"/>
                              <w:marBottom w:val="0"/>
                              <w:divBdr>
                                <w:top w:val="none" w:sz="0" w:space="0" w:color="auto"/>
                                <w:left w:val="none" w:sz="0" w:space="0" w:color="auto"/>
                                <w:bottom w:val="none" w:sz="0" w:space="0" w:color="auto"/>
                                <w:right w:val="none" w:sz="0" w:space="0" w:color="auto"/>
                              </w:divBdr>
                              <w:divsChild>
                                <w:div w:id="346180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4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46891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72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8042">
                              <w:marLeft w:val="0"/>
                              <w:marRight w:val="0"/>
                              <w:marTop w:val="0"/>
                              <w:marBottom w:val="0"/>
                              <w:divBdr>
                                <w:top w:val="none" w:sz="0" w:space="0" w:color="auto"/>
                                <w:left w:val="none" w:sz="0" w:space="0" w:color="auto"/>
                                <w:bottom w:val="none" w:sz="0" w:space="0" w:color="auto"/>
                                <w:right w:val="none" w:sz="0" w:space="0" w:color="auto"/>
                              </w:divBdr>
                              <w:divsChild>
                                <w:div w:id="1877038062">
                                  <w:marLeft w:val="0"/>
                                  <w:marRight w:val="0"/>
                                  <w:marTop w:val="0"/>
                                  <w:marBottom w:val="0"/>
                                  <w:divBdr>
                                    <w:top w:val="none" w:sz="0" w:space="0" w:color="auto"/>
                                    <w:left w:val="none" w:sz="0" w:space="0" w:color="auto"/>
                                    <w:bottom w:val="none" w:sz="0" w:space="0" w:color="auto"/>
                                    <w:right w:val="none" w:sz="0" w:space="0" w:color="auto"/>
                                  </w:divBdr>
                                  <w:divsChild>
                                    <w:div w:id="42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8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0834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85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0390165">
                              <w:marLeft w:val="0"/>
                              <w:marRight w:val="0"/>
                              <w:marTop w:val="0"/>
                              <w:marBottom w:val="0"/>
                              <w:divBdr>
                                <w:top w:val="none" w:sz="0" w:space="0" w:color="auto"/>
                                <w:left w:val="none" w:sz="0" w:space="0" w:color="auto"/>
                                <w:bottom w:val="none" w:sz="0" w:space="0" w:color="auto"/>
                                <w:right w:val="none" w:sz="0" w:space="0" w:color="auto"/>
                              </w:divBdr>
                              <w:divsChild>
                                <w:div w:id="284434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048052">
                              <w:blockQuote w:val="1"/>
                              <w:marLeft w:val="720"/>
                              <w:marRight w:val="720"/>
                              <w:marTop w:val="100"/>
                              <w:marBottom w:val="100"/>
                              <w:divBdr>
                                <w:top w:val="none" w:sz="0" w:space="0" w:color="auto"/>
                                <w:left w:val="none" w:sz="0" w:space="0" w:color="auto"/>
                                <w:bottom w:val="none" w:sz="0" w:space="0" w:color="auto"/>
                                <w:right w:val="none" w:sz="0" w:space="0" w:color="auto"/>
                              </w:divBdr>
                            </w:div>
                            <w:div w:id="552040443">
                              <w:blockQuote w:val="1"/>
                              <w:marLeft w:val="720"/>
                              <w:marRight w:val="720"/>
                              <w:marTop w:val="100"/>
                              <w:marBottom w:val="100"/>
                              <w:divBdr>
                                <w:top w:val="none" w:sz="0" w:space="0" w:color="auto"/>
                                <w:left w:val="none" w:sz="0" w:space="0" w:color="auto"/>
                                <w:bottom w:val="none" w:sz="0" w:space="0" w:color="auto"/>
                                <w:right w:val="none" w:sz="0" w:space="0" w:color="auto"/>
                              </w:divBdr>
                            </w:div>
                            <w:div w:id="688603442">
                              <w:marLeft w:val="0"/>
                              <w:marRight w:val="0"/>
                              <w:marTop w:val="0"/>
                              <w:marBottom w:val="0"/>
                              <w:divBdr>
                                <w:top w:val="none" w:sz="0" w:space="0" w:color="auto"/>
                                <w:left w:val="none" w:sz="0" w:space="0" w:color="auto"/>
                                <w:bottom w:val="none" w:sz="0" w:space="0" w:color="auto"/>
                                <w:right w:val="none" w:sz="0" w:space="0" w:color="auto"/>
                              </w:divBdr>
                              <w:divsChild>
                                <w:div w:id="244387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2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657635">
                              <w:marLeft w:val="0"/>
                              <w:marRight w:val="0"/>
                              <w:marTop w:val="0"/>
                              <w:marBottom w:val="0"/>
                              <w:divBdr>
                                <w:top w:val="none" w:sz="0" w:space="0" w:color="auto"/>
                                <w:left w:val="none" w:sz="0" w:space="0" w:color="auto"/>
                                <w:bottom w:val="none" w:sz="0" w:space="0" w:color="auto"/>
                                <w:right w:val="none" w:sz="0" w:space="0" w:color="auto"/>
                              </w:divBdr>
                              <w:divsChild>
                                <w:div w:id="760446054">
                                  <w:marLeft w:val="0"/>
                                  <w:marRight w:val="0"/>
                                  <w:marTop w:val="0"/>
                                  <w:marBottom w:val="0"/>
                                  <w:divBdr>
                                    <w:top w:val="none" w:sz="0" w:space="0" w:color="auto"/>
                                    <w:left w:val="none" w:sz="0" w:space="0" w:color="auto"/>
                                    <w:bottom w:val="none" w:sz="0" w:space="0" w:color="auto"/>
                                    <w:right w:val="none" w:sz="0" w:space="0" w:color="auto"/>
                                  </w:divBdr>
                                </w:div>
                              </w:divsChild>
                            </w:div>
                            <w:div w:id="442312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0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62170602">
          <w:marLeft w:val="0"/>
          <w:marRight w:val="0"/>
          <w:marTop w:val="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1518763433">
                  <w:marLeft w:val="0"/>
                  <w:marRight w:val="0"/>
                  <w:marTop w:val="0"/>
                  <w:marBottom w:val="0"/>
                  <w:divBdr>
                    <w:top w:val="none" w:sz="0" w:space="0" w:color="auto"/>
                    <w:left w:val="none" w:sz="0" w:space="0" w:color="auto"/>
                    <w:bottom w:val="none" w:sz="0" w:space="0" w:color="auto"/>
                    <w:right w:val="none" w:sz="0" w:space="0" w:color="auto"/>
                  </w:divBdr>
                  <w:divsChild>
                    <w:div w:id="1040397730">
                      <w:marLeft w:val="0"/>
                      <w:marRight w:val="0"/>
                      <w:marTop w:val="0"/>
                      <w:marBottom w:val="0"/>
                      <w:divBdr>
                        <w:top w:val="none" w:sz="0" w:space="0" w:color="auto"/>
                        <w:left w:val="none" w:sz="0" w:space="0" w:color="auto"/>
                        <w:bottom w:val="none" w:sz="0" w:space="0" w:color="auto"/>
                        <w:right w:val="none" w:sz="0" w:space="0" w:color="auto"/>
                      </w:divBdr>
                    </w:div>
                    <w:div w:id="2258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0293">
              <w:marLeft w:val="0"/>
              <w:marRight w:val="0"/>
              <w:marTop w:val="0"/>
              <w:marBottom w:val="0"/>
              <w:divBdr>
                <w:top w:val="none" w:sz="0" w:space="0" w:color="auto"/>
                <w:left w:val="none" w:sz="0" w:space="0" w:color="auto"/>
                <w:bottom w:val="none" w:sz="0" w:space="0" w:color="auto"/>
                <w:right w:val="none" w:sz="0" w:space="0" w:color="auto"/>
              </w:divBdr>
              <w:divsChild>
                <w:div w:id="1899439013">
                  <w:marLeft w:val="0"/>
                  <w:marRight w:val="0"/>
                  <w:marTop w:val="0"/>
                  <w:marBottom w:val="0"/>
                  <w:divBdr>
                    <w:top w:val="none" w:sz="0" w:space="0" w:color="auto"/>
                    <w:left w:val="none" w:sz="0" w:space="0" w:color="auto"/>
                    <w:bottom w:val="none" w:sz="0" w:space="0" w:color="auto"/>
                    <w:right w:val="none" w:sz="0" w:space="0" w:color="auto"/>
                  </w:divBdr>
                </w:div>
              </w:divsChild>
            </w:div>
            <w:div w:id="104009561">
              <w:marLeft w:val="0"/>
              <w:marRight w:val="0"/>
              <w:marTop w:val="0"/>
              <w:marBottom w:val="0"/>
              <w:divBdr>
                <w:top w:val="none" w:sz="0" w:space="0" w:color="auto"/>
                <w:left w:val="none" w:sz="0" w:space="0" w:color="auto"/>
                <w:bottom w:val="none" w:sz="0" w:space="0" w:color="auto"/>
                <w:right w:val="none" w:sz="0" w:space="0" w:color="auto"/>
              </w:divBdr>
              <w:divsChild>
                <w:div w:id="1690790012">
                  <w:marLeft w:val="0"/>
                  <w:marRight w:val="0"/>
                  <w:marTop w:val="0"/>
                  <w:marBottom w:val="0"/>
                  <w:divBdr>
                    <w:top w:val="none" w:sz="0" w:space="0" w:color="auto"/>
                    <w:left w:val="none" w:sz="0" w:space="0" w:color="auto"/>
                    <w:bottom w:val="none" w:sz="0" w:space="0" w:color="auto"/>
                    <w:right w:val="none" w:sz="0" w:space="0" w:color="auto"/>
                  </w:divBdr>
                </w:div>
              </w:divsChild>
            </w:div>
            <w:div w:id="12197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ternatives-economiques.fr/retraites-6-raisons-lesquelles-francais-ne-peuvent-travailler-p/00104839" TargetMode="External"/><Relationship Id="rId18" Type="http://schemas.openxmlformats.org/officeDocument/2006/relationships/hyperlink" Target="https://www.alternatives-economiques.fr/retraites-6-raisons-lesquelles-francais-ne-peuvent-travailler-p/00104839" TargetMode="External"/><Relationship Id="rId26" Type="http://schemas.openxmlformats.org/officeDocument/2006/relationships/hyperlink" Target="http://cutt.ly/QBnfCbu" TargetMode="External"/><Relationship Id="rId39" Type="http://schemas.openxmlformats.org/officeDocument/2006/relationships/fontTable" Target="fontTable.xml"/><Relationship Id="rId21" Type="http://schemas.openxmlformats.org/officeDocument/2006/relationships/hyperlink" Target="https://www.alternatives-economiques.fr/retraites-6-raisons-lesquelles-francais-ne-peuvent-travailler-p/00104839" TargetMode="External"/><Relationship Id="rId34" Type="http://schemas.openxmlformats.org/officeDocument/2006/relationships/hyperlink" Target="https://www.alternatives-economiques.fr/retraites-6-raisons-lesquelles-francais-ne-peuvent-travailler-p/00104839" TargetMode="External"/><Relationship Id="rId7" Type="http://schemas.openxmlformats.org/officeDocument/2006/relationships/hyperlink" Target="https://www.alternatives-economiques.fr/retraites-6-raisons-lesquelles-francais-ne-peuvent-travailler-p/00104839" TargetMode="External"/><Relationship Id="rId12" Type="http://schemas.openxmlformats.org/officeDocument/2006/relationships/hyperlink" Target="https://www.alternatives-economiques.fr/retraites-6-raisons-lesquelles-francais-ne-peuvent-travailler-p/00104839" TargetMode="External"/><Relationship Id="rId17" Type="http://schemas.openxmlformats.org/officeDocument/2006/relationships/hyperlink" Target="https://www.alternatives-economiques.fr/retraites-6-raisons-lesquelles-francais-ne-peuvent-travailler-p/00104839" TargetMode="External"/><Relationship Id="rId25" Type="http://schemas.openxmlformats.org/officeDocument/2006/relationships/hyperlink" Target="https://www.alternatives-economiques.fr/retraites-6-raisons-lesquelles-francais-ne-peuvent-travailler-p/00104839" TargetMode="External"/><Relationship Id="rId33" Type="http://schemas.openxmlformats.org/officeDocument/2006/relationships/hyperlink" Target="https://www.alternatives-economiques.fr/retraites-6-raisons-lesquelles-francais-ne-peuvent-travailler-p/00104839" TargetMode="External"/><Relationship Id="rId38" Type="http://schemas.openxmlformats.org/officeDocument/2006/relationships/hyperlink" Target="https://www.alternatives-economiques.fr/retraites-6-raisons-lesquelles-francais-ne-peuvent-travailler-p/00104839" TargetMode="External"/><Relationship Id="rId2" Type="http://schemas.openxmlformats.org/officeDocument/2006/relationships/styles" Target="styles.xml"/><Relationship Id="rId16" Type="http://schemas.openxmlformats.org/officeDocument/2006/relationships/hyperlink" Target="https://www.alternatives-economiques.fr/retraites-6-raisons-lesquelles-francais-ne-peuvent-travailler-p/00104839" TargetMode="External"/><Relationship Id="rId20" Type="http://schemas.openxmlformats.org/officeDocument/2006/relationships/hyperlink" Target="https://www.alternatives-economiques.fr/retraites-6-raisons-lesquelles-francais-ne-peuvent-travailler-p/00104839" TargetMode="External"/><Relationship Id="rId29" Type="http://schemas.openxmlformats.org/officeDocument/2006/relationships/hyperlink" Target="https://www.alternatives-economiques.fr/retraites-6-raisons-lesquelles-francais-ne-peuvent-travailler-p/00104839" TargetMode="External"/><Relationship Id="rId1" Type="http://schemas.openxmlformats.org/officeDocument/2006/relationships/numbering" Target="numbering.xml"/><Relationship Id="rId6" Type="http://schemas.openxmlformats.org/officeDocument/2006/relationships/hyperlink" Target="https://www.alternatives-economiques.fr/retraites-6-raisons-lesquelles-francais-ne-peuvent-travailler-p/00104839" TargetMode="External"/><Relationship Id="rId11" Type="http://schemas.openxmlformats.org/officeDocument/2006/relationships/hyperlink" Target="https://www.alternatives-economiques.fr/retraites-6-raisons-lesquelles-francais-ne-peuvent-travailler-p/00104839" TargetMode="External"/><Relationship Id="rId24" Type="http://schemas.openxmlformats.org/officeDocument/2006/relationships/hyperlink" Target="https://www.alternatives-economiques.fr/retraites-6-raisons-lesquelles-francais-ne-peuvent-travailler-p/00104839" TargetMode="External"/><Relationship Id="rId32" Type="http://schemas.openxmlformats.org/officeDocument/2006/relationships/hyperlink" Target="https://www.alternatives-economiques.fr/retraites-6-raisons-lesquelles-francais-ne-peuvent-travailler-p/00104839" TargetMode="External"/><Relationship Id="rId37" Type="http://schemas.openxmlformats.org/officeDocument/2006/relationships/hyperlink" Target="https://www.alternatives-economiques.fr/retraites-6-raisons-lesquelles-francais-ne-peuvent-travailler-p/00104839" TargetMode="External"/><Relationship Id="rId40" Type="http://schemas.openxmlformats.org/officeDocument/2006/relationships/theme" Target="theme/theme1.xml"/><Relationship Id="rId5" Type="http://schemas.openxmlformats.org/officeDocument/2006/relationships/hyperlink" Target="https://www.alternatives-economiques.fr/retraites-6-raisons-lesquelles-francais-ne-peuvent-travailler-p/00104839" TargetMode="External"/><Relationship Id="rId15" Type="http://schemas.openxmlformats.org/officeDocument/2006/relationships/hyperlink" Target="https://www.alternatives-economiques.fr/retraites-6-raisons-lesquelles-francais-ne-peuvent-travailler-p/00104839" TargetMode="External"/><Relationship Id="rId23" Type="http://schemas.openxmlformats.org/officeDocument/2006/relationships/hyperlink" Target="https://www.alternatives-economiques.fr/retraites-6-raisons-lesquelles-francais-ne-peuvent-travailler-p/00104839" TargetMode="External"/><Relationship Id="rId28" Type="http://schemas.openxmlformats.org/officeDocument/2006/relationships/hyperlink" Target="https://www.alternatives-economiques.fr/retraites-6-raisons-lesquelles-francais-ne-peuvent-travailler-p/00104839" TargetMode="External"/><Relationship Id="rId36" Type="http://schemas.openxmlformats.org/officeDocument/2006/relationships/hyperlink" Target="https://www.alternatives-economiques.fr/retraites-6-raisons-lesquelles-francais-ne-peuvent-travailler-p/00104839" TargetMode="External"/><Relationship Id="rId10" Type="http://schemas.openxmlformats.org/officeDocument/2006/relationships/hyperlink" Target="https://www.alternatives-economiques.fr/retraites-6-raisons-lesquelles-francais-ne-peuvent-travailler-p/00104839" TargetMode="External"/><Relationship Id="rId19" Type="http://schemas.openxmlformats.org/officeDocument/2006/relationships/hyperlink" Target="https://www.alternatives-economiques.fr/retraites-6-raisons-lesquelles-francais-ne-peuvent-travailler-p/00104839" TargetMode="External"/><Relationship Id="rId31" Type="http://schemas.openxmlformats.org/officeDocument/2006/relationships/hyperlink" Target="https://www.alternatives-economiques.fr/retraites-6-raisons-lesquelles-francais-ne-peuvent-travailler-p/00104839" TargetMode="External"/><Relationship Id="rId4" Type="http://schemas.openxmlformats.org/officeDocument/2006/relationships/webSettings" Target="webSettings.xml"/><Relationship Id="rId9" Type="http://schemas.openxmlformats.org/officeDocument/2006/relationships/hyperlink" Target="https://www.alternatives-economiques.fr/retraites-6-raisons-lesquelles-francais-ne-peuvent-travailler-p/00104839" TargetMode="External"/><Relationship Id="rId14" Type="http://schemas.openxmlformats.org/officeDocument/2006/relationships/hyperlink" Target="https://www.alternatives-economiques.fr/retraites-6-raisons-lesquelles-francais-ne-peuvent-travailler-p/00104839" TargetMode="External"/><Relationship Id="rId22" Type="http://schemas.openxmlformats.org/officeDocument/2006/relationships/hyperlink" Target="http://cutt.ly/WBw9YVE" TargetMode="External"/><Relationship Id="rId27" Type="http://schemas.openxmlformats.org/officeDocument/2006/relationships/hyperlink" Target="https://www.alternatives-economiques.fr/retraites-6-raisons-lesquelles-francais-ne-peuvent-travailler-p/00104839" TargetMode="External"/><Relationship Id="rId30" Type="http://schemas.openxmlformats.org/officeDocument/2006/relationships/hyperlink" Target="https://www.alternatives-economiques.fr/retraites-6-raisons-lesquelles-francais-ne-peuvent-travailler-p/00104839" TargetMode="External"/><Relationship Id="rId35" Type="http://schemas.openxmlformats.org/officeDocument/2006/relationships/hyperlink" Target="https://www.alternatives-economiques.fr/retraites-6-raisons-lesquelles-francais-ne-peuvent-travailler-p/00104839" TargetMode="External"/><Relationship Id="rId8" Type="http://schemas.openxmlformats.org/officeDocument/2006/relationships/hyperlink" Target="https://www.alternatives-economiques.fr/retraites-6-raisons-lesquelles-francais-ne-peuvent-travailler-p/00104839" TargetMode="Externa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4860</Words>
  <Characters>26736</Characters>
  <Application>Microsoft Office Word</Application>
  <DocSecurity>0</DocSecurity>
  <Lines>222</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snuipp</dc:creator>
  <cp:lastModifiedBy>Julie</cp:lastModifiedBy>
  <cp:revision>2</cp:revision>
  <dcterms:created xsi:type="dcterms:W3CDTF">2023-01-09T11:22:00Z</dcterms:created>
  <dcterms:modified xsi:type="dcterms:W3CDTF">2023-01-09T11:22:00Z</dcterms:modified>
</cp:coreProperties>
</file>