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F51A" w14:textId="77777777" w:rsidR="006F1B91" w:rsidRPr="006F1B91" w:rsidRDefault="006F1B91" w:rsidP="006F1B91">
      <w:pPr>
        <w:spacing w:before="100" w:beforeAutospacing="1" w:after="100" w:afterAutospacing="1" w:line="240" w:lineRule="auto"/>
        <w:outlineLvl w:val="0"/>
        <w:rPr>
          <w:rFonts w:eastAsia="Times New Roman" w:cstheme="minorHAnsi"/>
          <w:b/>
          <w:bCs/>
          <w:kern w:val="36"/>
          <w:lang w:eastAsia="fr-FR"/>
        </w:rPr>
      </w:pPr>
      <w:proofErr w:type="gramStart"/>
      <w:r w:rsidRPr="006F1B91">
        <w:rPr>
          <w:rFonts w:eastAsia="Times New Roman" w:cstheme="minorHAnsi"/>
          <w:b/>
          <w:bCs/>
          <w:kern w:val="36"/>
          <w:lang w:eastAsia="fr-FR"/>
        </w:rPr>
        <w:t>«Sécurité</w:t>
      </w:r>
      <w:proofErr w:type="gramEnd"/>
      <w:r w:rsidRPr="006F1B91">
        <w:rPr>
          <w:rFonts w:eastAsia="Times New Roman" w:cstheme="minorHAnsi"/>
          <w:b/>
          <w:bCs/>
          <w:kern w:val="36"/>
          <w:lang w:eastAsia="fr-FR"/>
        </w:rPr>
        <w:t xml:space="preserve"> globale»: le rappel du Conseil constitutionnel aux libertés fondamentales</w:t>
      </w:r>
    </w:p>
    <w:p w14:paraId="3056B0B3" w14:textId="77777777" w:rsidR="006F1B91" w:rsidRPr="006F1B91" w:rsidRDefault="006F1B91" w:rsidP="006F1B91">
      <w:pPr>
        <w:spacing w:after="0" w:line="240" w:lineRule="auto"/>
        <w:rPr>
          <w:rFonts w:eastAsia="Times New Roman" w:cstheme="minorHAnsi"/>
          <w:lang w:eastAsia="fr-FR"/>
        </w:rPr>
      </w:pPr>
      <w:r w:rsidRPr="006F1B91">
        <w:rPr>
          <w:rFonts w:eastAsia="Times New Roman" w:cstheme="minorHAnsi"/>
          <w:lang w:eastAsia="fr-FR"/>
        </w:rPr>
        <w:t xml:space="preserve">Jérôme </w:t>
      </w:r>
      <w:proofErr w:type="spellStart"/>
      <w:r w:rsidRPr="006F1B91">
        <w:rPr>
          <w:rFonts w:eastAsia="Times New Roman" w:cstheme="minorHAnsi"/>
          <w:lang w:eastAsia="fr-FR"/>
        </w:rPr>
        <w:t>Hourdeaux</w:t>
      </w:r>
      <w:proofErr w:type="spellEnd"/>
    </w:p>
    <w:p w14:paraId="08C59D18" w14:textId="77777777" w:rsidR="006F1B91" w:rsidRPr="006F1B91" w:rsidRDefault="006F1B91" w:rsidP="006F1B91">
      <w:pPr>
        <w:spacing w:after="0" w:line="240" w:lineRule="auto"/>
        <w:rPr>
          <w:rFonts w:eastAsia="Times New Roman" w:cstheme="minorHAnsi"/>
          <w:lang w:eastAsia="fr-FR"/>
        </w:rPr>
      </w:pPr>
      <w:r w:rsidRPr="006F1B91">
        <w:rPr>
          <w:rFonts w:eastAsia="Times New Roman" w:cstheme="minorHAnsi"/>
          <w:lang w:eastAsia="fr-FR"/>
        </w:rPr>
        <w:t>11-14 minutes</w:t>
      </w:r>
    </w:p>
    <w:p w14:paraId="202861EF" w14:textId="77777777" w:rsidR="006F1B91" w:rsidRPr="006F1B91" w:rsidRDefault="006F1B91" w:rsidP="006F1B91">
      <w:pPr>
        <w:spacing w:after="0" w:line="240" w:lineRule="auto"/>
        <w:rPr>
          <w:rFonts w:eastAsia="Times New Roman" w:cstheme="minorHAnsi"/>
          <w:lang w:eastAsia="fr-FR"/>
        </w:rPr>
      </w:pPr>
      <w:r w:rsidRPr="006F1B91">
        <w:rPr>
          <w:rFonts w:eastAsia="Times New Roman" w:cstheme="minorHAnsi"/>
          <w:lang w:eastAsia="fr-FR"/>
        </w:rPr>
        <w:pict w14:anchorId="7668C1B3">
          <v:rect id="_x0000_i1025" style="width:0;height:1.5pt" o:hralign="center" o:hrstd="t" o:hr="t" fillcolor="#a0a0a0" stroked="f"/>
        </w:pict>
      </w:r>
    </w:p>
    <w:p w14:paraId="4841DADA"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Le Conseil constitutionnel a dépouillé, jeudi 20 mai, la loi « sécurité globale » de plusieurs de ses mesures phares. Au total, ce sont sept articles qui ont été censurés entièrement ou partiellement, contre neuf articles déclarés conformes à la Constitution.</w:t>
      </w:r>
    </w:p>
    <w:p w14:paraId="2175AC8C"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Les « Sages » ont considérablement réduit la portée de l’article 52 qui, à l’origine, visait à interdire la diffusion d’images de policiers afin de nuire à leur intégrité physique ou psychique. Initialement numérotée article 24, cette disposition avait déclenché, au début de l’année 2021, </w:t>
      </w:r>
      <w:hyperlink r:id="rId4" w:tgtFrame="_blank" w:history="1">
        <w:r w:rsidRPr="006F1B91">
          <w:rPr>
            <w:rFonts w:eastAsia="Times New Roman" w:cstheme="minorHAnsi"/>
            <w:color w:val="0000FF"/>
            <w:u w:val="single"/>
            <w:lang w:eastAsia="fr-FR"/>
          </w:rPr>
          <w:t>une vaste mobilisation de la société civile</w:t>
        </w:r>
      </w:hyperlink>
      <w:r w:rsidRPr="006F1B91">
        <w:rPr>
          <w:rFonts w:eastAsia="Times New Roman" w:cstheme="minorHAnsi"/>
          <w:lang w:eastAsia="fr-FR"/>
        </w:rPr>
        <w:t>.</w:t>
      </w:r>
    </w:p>
    <w:p w14:paraId="3A69380C"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Espérant calmer les inquiétudes, le gouvernement avait introduit un nouvel article 18 à la loi « séparatisme », encore en cours d’examen, créant un nouveau délit de </w:t>
      </w:r>
      <w:r w:rsidRPr="006F1B91">
        <w:rPr>
          <w:rFonts w:eastAsia="Times New Roman" w:cstheme="minorHAnsi"/>
          <w:i/>
          <w:iCs/>
          <w:lang w:eastAsia="fr-FR"/>
        </w:rPr>
        <w:t>« mise en danger d’autrui par la diffusion d’informations relatives à la vie privée »</w:t>
      </w:r>
      <w:r w:rsidRPr="006F1B91">
        <w:rPr>
          <w:rFonts w:eastAsia="Times New Roman" w:cstheme="minorHAnsi"/>
          <w:lang w:eastAsia="fr-FR"/>
        </w:rPr>
        <w:t>.</w:t>
      </w:r>
    </w:p>
    <w:p w14:paraId="7197FF3F"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Concernant la protection de l’image des policiers, l’article 24 avait été divisé en deux infractions distinctes et complémentaires. D’un côté, il punissait de cinq ans de prison et de 75 000 euros d’amende le fait de provoquer à l’identification, dans le but de nuire à l'intégrité physique ou psychique d’un policier ou d’un douanier, agissant </w:t>
      </w:r>
      <w:r w:rsidRPr="006F1B91">
        <w:rPr>
          <w:rFonts w:eastAsia="Times New Roman" w:cstheme="minorHAnsi"/>
          <w:i/>
          <w:iCs/>
          <w:lang w:eastAsia="fr-FR"/>
        </w:rPr>
        <w:t>« dans le cadre d’une opération »</w:t>
      </w:r>
      <w:r w:rsidRPr="006F1B91">
        <w:rPr>
          <w:rFonts w:eastAsia="Times New Roman" w:cstheme="minorHAnsi"/>
          <w:lang w:eastAsia="fr-FR"/>
        </w:rPr>
        <w:t>, ainsi que de sa famille.</w:t>
      </w:r>
    </w:p>
    <w:p w14:paraId="6F27FA63"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Parallèlement, une autre infraction punit de cinq ans de prison et de 300 000 euros d’amende la constitution et le traitement informatique de base de données personnelles</w:t>
      </w:r>
      <w:r w:rsidRPr="006F1B91">
        <w:rPr>
          <w:rFonts w:eastAsia="Times New Roman" w:cstheme="minorHAnsi"/>
          <w:i/>
          <w:iCs/>
          <w:lang w:eastAsia="fr-FR"/>
        </w:rPr>
        <w:t xml:space="preserve"> « relatives à des fonctionnaires ou personnes chargées d’un service public »</w:t>
      </w:r>
      <w:r w:rsidRPr="006F1B91">
        <w:rPr>
          <w:rFonts w:eastAsia="Times New Roman" w:cstheme="minorHAnsi"/>
          <w:lang w:eastAsia="fr-FR"/>
        </w:rPr>
        <w:t>.</w:t>
      </w:r>
    </w:p>
    <w:p w14:paraId="6BBD9462"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Si cette dernière infraction ne pose pas de problème au Conseil constitutionnel, la première, en revanche, lui semble beaucoup trop mal définie. Il s’inquiète notamment de la notion trop vague </w:t>
      </w:r>
      <w:r w:rsidRPr="006F1B91">
        <w:rPr>
          <w:rFonts w:eastAsia="Times New Roman" w:cstheme="minorHAnsi"/>
          <w:i/>
          <w:iCs/>
          <w:lang w:eastAsia="fr-FR"/>
        </w:rPr>
        <w:t>« d’opération »</w:t>
      </w:r>
      <w:r w:rsidRPr="006F1B91">
        <w:rPr>
          <w:rFonts w:eastAsia="Times New Roman" w:cstheme="minorHAnsi"/>
          <w:lang w:eastAsia="fr-FR"/>
        </w:rPr>
        <w:t>.</w:t>
      </w:r>
    </w:p>
    <w:p w14:paraId="62F26D82"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Ainsi, le texte ne permet</w:t>
      </w:r>
      <w:r w:rsidRPr="006F1B91">
        <w:rPr>
          <w:rFonts w:eastAsia="Times New Roman" w:cstheme="minorHAnsi"/>
          <w:i/>
          <w:iCs/>
          <w:lang w:eastAsia="fr-FR"/>
        </w:rPr>
        <w:t xml:space="preserve"> « pas de déterminer si le législateur a entendu réprimer la provocation à l’identification d’un membre des forces de l’ordre uniquement lorsqu’elle est commise au moment où celui-ci est</w:t>
      </w:r>
      <w:r w:rsidRPr="006F1B91">
        <w:rPr>
          <w:rFonts w:eastAsia="Times New Roman" w:cstheme="minorHAnsi"/>
          <w:lang w:eastAsia="fr-FR"/>
        </w:rPr>
        <w:t xml:space="preserve"> </w:t>
      </w:r>
      <w:r w:rsidRPr="006F1B91">
        <w:rPr>
          <w:rFonts w:eastAsia="Times New Roman" w:cstheme="minorHAnsi"/>
          <w:i/>
          <w:iCs/>
          <w:lang w:eastAsia="fr-FR"/>
        </w:rPr>
        <w:t>"en opération" ou s’il a entendu réprimer plus largement la provocation à l’identification d’agents ayant participé à une opération, sans d’ailleurs que soit définie cette notion d’opération »</w:t>
      </w:r>
      <w:r w:rsidRPr="006F1B91">
        <w:rPr>
          <w:rFonts w:eastAsia="Times New Roman" w:cstheme="minorHAnsi"/>
          <w:lang w:eastAsia="fr-FR"/>
        </w:rPr>
        <w:t>, pointe le Conseil constitutionnel.</w:t>
      </w:r>
    </w:p>
    <w:p w14:paraId="09600273"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De plus, poursuit la décision, le législateur n’a pas </w:t>
      </w:r>
      <w:r w:rsidRPr="006F1B91">
        <w:rPr>
          <w:rFonts w:eastAsia="Times New Roman" w:cstheme="minorHAnsi"/>
          <w:i/>
          <w:iCs/>
          <w:lang w:eastAsia="fr-FR"/>
        </w:rPr>
        <w:t>« déterminé si "le but manifeste" qu’il soit porté atteinte à l’intégrité physique ou psychique du policier devait être caractérisé indépendamment de la seule provocation à l’identification »</w:t>
      </w:r>
      <w:r w:rsidRPr="006F1B91">
        <w:rPr>
          <w:rFonts w:eastAsia="Times New Roman" w:cstheme="minorHAnsi"/>
          <w:lang w:eastAsia="fr-FR"/>
        </w:rPr>
        <w:t>. Il en résulte</w:t>
      </w:r>
      <w:r w:rsidRPr="006F1B91">
        <w:rPr>
          <w:rFonts w:eastAsia="Times New Roman" w:cstheme="minorHAnsi"/>
          <w:i/>
          <w:iCs/>
          <w:lang w:eastAsia="fr-FR"/>
        </w:rPr>
        <w:t xml:space="preserve"> « une incertitude sur la portée de l'intention exigée de l'auteur du </w:t>
      </w:r>
      <w:proofErr w:type="gramStart"/>
      <w:r w:rsidRPr="006F1B91">
        <w:rPr>
          <w:rFonts w:eastAsia="Times New Roman" w:cstheme="minorHAnsi"/>
          <w:i/>
          <w:iCs/>
          <w:lang w:eastAsia="fr-FR"/>
        </w:rPr>
        <w:t>délit  »</w:t>
      </w:r>
      <w:proofErr w:type="gramEnd"/>
      <w:r w:rsidRPr="006F1B91">
        <w:rPr>
          <w:rFonts w:eastAsia="Times New Roman" w:cstheme="minorHAnsi"/>
          <w:lang w:eastAsia="fr-FR"/>
        </w:rPr>
        <w:t>.</w:t>
      </w:r>
    </w:p>
    <w:p w14:paraId="434AB0AC"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Cette infraction, mal définie, méconnait ainsi </w:t>
      </w:r>
      <w:r w:rsidRPr="006F1B91">
        <w:rPr>
          <w:rFonts w:eastAsia="Times New Roman" w:cstheme="minorHAnsi"/>
          <w:i/>
          <w:iCs/>
          <w:lang w:eastAsia="fr-FR"/>
        </w:rPr>
        <w:t xml:space="preserve">« le principe de légalité » </w:t>
      </w:r>
      <w:r w:rsidRPr="006F1B91">
        <w:rPr>
          <w:rFonts w:eastAsia="Times New Roman" w:cstheme="minorHAnsi"/>
          <w:lang w:eastAsia="fr-FR"/>
        </w:rPr>
        <w:t>des peines : elle est censurée par le Conseil constitutionnel. Ne reste donc plus que la seconde infraction, punissant le traitement informatique de base de données personnelles.</w:t>
      </w:r>
    </w:p>
    <w:p w14:paraId="2368877C"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i/>
          <w:iCs/>
          <w:lang w:eastAsia="fr-FR"/>
        </w:rPr>
        <w:t>« C’est une très bonne nouvelle pour la capacité des journalistes à couvrir les manifestations »</w:t>
      </w:r>
      <w:r w:rsidRPr="006F1B91">
        <w:rPr>
          <w:rFonts w:eastAsia="Times New Roman" w:cstheme="minorHAnsi"/>
          <w:lang w:eastAsia="fr-FR"/>
        </w:rPr>
        <w:t xml:space="preserve">, a réagi </w:t>
      </w:r>
      <w:hyperlink r:id="rId5" w:tgtFrame="_blank" w:history="1">
        <w:r w:rsidRPr="006F1B91">
          <w:rPr>
            <w:rFonts w:eastAsia="Times New Roman" w:cstheme="minorHAnsi"/>
            <w:color w:val="0000FF"/>
            <w:u w:val="single"/>
            <w:lang w:eastAsia="fr-FR"/>
          </w:rPr>
          <w:t>sur Twitter</w:t>
        </w:r>
      </w:hyperlink>
      <w:r w:rsidRPr="006F1B91">
        <w:rPr>
          <w:rFonts w:eastAsia="Times New Roman" w:cstheme="minorHAnsi"/>
          <w:lang w:eastAsia="fr-FR"/>
        </w:rPr>
        <w:t xml:space="preserve"> le secrétaire général de Reporters sans frontières, Christophe </w:t>
      </w:r>
      <w:proofErr w:type="spellStart"/>
      <w:r w:rsidRPr="006F1B91">
        <w:rPr>
          <w:rFonts w:eastAsia="Times New Roman" w:cstheme="minorHAnsi"/>
          <w:lang w:eastAsia="fr-FR"/>
        </w:rPr>
        <w:t>Deloire</w:t>
      </w:r>
      <w:proofErr w:type="spellEnd"/>
      <w:r w:rsidRPr="006F1B91">
        <w:rPr>
          <w:rFonts w:eastAsia="Times New Roman" w:cstheme="minorHAnsi"/>
          <w:lang w:eastAsia="fr-FR"/>
        </w:rPr>
        <w:t>.</w:t>
      </w:r>
    </w:p>
    <w:p w14:paraId="7C226115" w14:textId="5F0CCD03" w:rsidR="006F1B91" w:rsidRPr="006F1B91" w:rsidRDefault="006F1B91" w:rsidP="006F1B91">
      <w:pPr>
        <w:spacing w:after="0" w:line="240" w:lineRule="auto"/>
        <w:rPr>
          <w:rFonts w:eastAsia="Times New Roman" w:cstheme="minorHAnsi"/>
          <w:lang w:eastAsia="fr-FR"/>
        </w:rPr>
      </w:pPr>
      <w:r w:rsidRPr="006F1B91">
        <w:rPr>
          <w:rFonts w:eastAsia="Times New Roman" w:cstheme="minorHAnsi"/>
          <w:lang w:eastAsia="fr-FR"/>
        </w:rPr>
        <w:t xml:space="preserve">Le Conseil constitutionnel a également censuré l’article 47 qui prétendait légaliser et encadrer l’usage de la vidéosurveillance par drones. Les « Sages » prennent tout d’abord soin de préciser que leur opposition n’est pas de principe et que les drones pourraient être autorisés par le législateur à des fins </w:t>
      </w:r>
      <w:r w:rsidRPr="006F1B91">
        <w:rPr>
          <w:rFonts w:eastAsia="Times New Roman" w:cstheme="minorHAnsi"/>
          <w:i/>
          <w:iCs/>
          <w:lang w:eastAsia="fr-FR"/>
        </w:rPr>
        <w:t>« de prévention des atteintes à l’ordre public et de recherche des auteurs d’infractions »</w:t>
      </w:r>
      <w:r w:rsidRPr="006F1B91">
        <w:rPr>
          <w:rFonts w:eastAsia="Times New Roman" w:cstheme="minorHAnsi"/>
          <w:lang w:eastAsia="fr-FR"/>
        </w:rPr>
        <w:t xml:space="preserve">. </w:t>
      </w:r>
    </w:p>
    <w:p w14:paraId="4DF355F1"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i/>
          <w:iCs/>
          <w:lang w:eastAsia="fr-FR"/>
        </w:rPr>
        <w:t>« Toutefois</w:t>
      </w:r>
      <w:r w:rsidRPr="006F1B91">
        <w:rPr>
          <w:rFonts w:eastAsia="Times New Roman" w:cstheme="minorHAnsi"/>
          <w:lang w:eastAsia="fr-FR"/>
        </w:rPr>
        <w:t xml:space="preserve">, poursuivent-t-ils, </w:t>
      </w:r>
      <w:r w:rsidRPr="006F1B91">
        <w:rPr>
          <w:rFonts w:eastAsia="Times New Roman" w:cstheme="minorHAnsi"/>
          <w:i/>
          <w:iCs/>
          <w:lang w:eastAsia="fr-FR"/>
        </w:rPr>
        <w:t>eu égard à leur mobilité et à la hauteur à laquelle ils peuvent évoluer, ces appareils sont susceptibles de capter, en tout lieu et sans que leur présence soit détectée, des images d’un nombre très important de personnes et de suivre leurs déplacements dans un vaste périmètre »</w:t>
      </w:r>
      <w:r w:rsidRPr="006F1B91">
        <w:rPr>
          <w:rFonts w:eastAsia="Times New Roman" w:cstheme="minorHAnsi"/>
          <w:lang w:eastAsia="fr-FR"/>
        </w:rPr>
        <w:t>.</w:t>
      </w:r>
    </w:p>
    <w:p w14:paraId="0B34ED60"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lastRenderedPageBreak/>
        <w:t xml:space="preserve">De telles capacités de surveillance doivent être accompagnées </w:t>
      </w:r>
      <w:r w:rsidRPr="006F1B91">
        <w:rPr>
          <w:rFonts w:eastAsia="Times New Roman" w:cstheme="minorHAnsi"/>
          <w:i/>
          <w:iCs/>
          <w:lang w:eastAsia="fr-FR"/>
        </w:rPr>
        <w:t>« de garanties particulières de nature à sauvegarder le droit au respect de la vie privée »</w:t>
      </w:r>
      <w:r w:rsidRPr="006F1B91">
        <w:rPr>
          <w:rFonts w:eastAsia="Times New Roman" w:cstheme="minorHAnsi"/>
          <w:lang w:eastAsia="fr-FR"/>
        </w:rPr>
        <w:t>, et absentes de cette loi.</w:t>
      </w:r>
    </w:p>
    <w:p w14:paraId="088321CB"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Le Conseil souligne le caractère particulièrement large du champ d’application potentiel des drones. Ils peuvent ainsi être utilisés pour constater</w:t>
      </w:r>
      <w:r w:rsidRPr="006F1B91">
        <w:rPr>
          <w:rFonts w:eastAsia="Times New Roman" w:cstheme="minorHAnsi"/>
          <w:i/>
          <w:iCs/>
          <w:lang w:eastAsia="fr-FR"/>
        </w:rPr>
        <w:t xml:space="preserve"> « toute infraction, y compris pour une contravention »</w:t>
      </w:r>
      <w:r w:rsidRPr="006F1B91">
        <w:rPr>
          <w:rFonts w:eastAsia="Times New Roman" w:cstheme="minorHAnsi"/>
          <w:lang w:eastAsia="fr-FR"/>
        </w:rPr>
        <w:t xml:space="preserve">, pour prévenir des infractions terroristes en surveillant certains bâtiments, pour surveiller des rassemblements, des manifestations, les frontières… Ils peuvent en outre être utilisés par le policiers municipaux </w:t>
      </w:r>
      <w:r w:rsidRPr="006F1B91">
        <w:rPr>
          <w:rFonts w:eastAsia="Times New Roman" w:cstheme="minorHAnsi"/>
          <w:i/>
          <w:iCs/>
          <w:lang w:eastAsia="fr-FR"/>
        </w:rPr>
        <w:t>« aux fins d’assurer l’exécution de tout arrêté de police du maire, quelle que soit la nature de l’obligation ou de l’interdiction qu’il édicte, et de constater les contraventions à ces arrêtés »</w:t>
      </w:r>
      <w:r w:rsidRPr="006F1B91">
        <w:rPr>
          <w:rFonts w:eastAsia="Times New Roman" w:cstheme="minorHAnsi"/>
          <w:lang w:eastAsia="fr-FR"/>
        </w:rPr>
        <w:t>.</w:t>
      </w:r>
    </w:p>
    <w:p w14:paraId="29B418C7"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Face à ces capacités de surveillance considérables, la loi ne prévoit que peu de limites. Ainsi, elle ne fixe</w:t>
      </w:r>
      <w:r w:rsidRPr="006F1B91">
        <w:rPr>
          <w:rFonts w:eastAsia="Times New Roman" w:cstheme="minorHAnsi"/>
          <w:i/>
          <w:iCs/>
          <w:lang w:eastAsia="fr-FR"/>
        </w:rPr>
        <w:t xml:space="preserve"> « aucune limite maximale à la durée de l’autorisation de recourir à un tel moyen de surveillance, exceptée la durée de six mois lorsque cette autorisation est délivrée à la police municipale, ni aucune limite au périmètre dans lequel la surveillance peut être mise en œuvre »</w:t>
      </w:r>
      <w:r w:rsidRPr="006F1B91">
        <w:rPr>
          <w:rFonts w:eastAsia="Times New Roman" w:cstheme="minorHAnsi"/>
          <w:lang w:eastAsia="fr-FR"/>
        </w:rPr>
        <w:t xml:space="preserve">. De plus, il </w:t>
      </w:r>
      <w:r w:rsidRPr="006F1B91">
        <w:rPr>
          <w:rFonts w:eastAsia="Times New Roman" w:cstheme="minorHAnsi"/>
          <w:i/>
          <w:iCs/>
          <w:lang w:eastAsia="fr-FR"/>
        </w:rPr>
        <w:t>« n’a pas été fixé le principe d’un contingentement du nombre d’aéronefs circulant sans personne à bord équipés d’une caméra pouvant être utilisés, le cas échéant simultanément, par les différents services de l’État et ceux de la police municipale »</w:t>
      </w:r>
      <w:r w:rsidRPr="006F1B91">
        <w:rPr>
          <w:rFonts w:eastAsia="Times New Roman" w:cstheme="minorHAnsi"/>
          <w:lang w:eastAsia="fr-FR"/>
        </w:rPr>
        <w:t>.</w:t>
      </w:r>
    </w:p>
    <w:p w14:paraId="7D274E53"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En conséquence, le Conseil constitutionnel estime que </w:t>
      </w:r>
      <w:r w:rsidRPr="006F1B91">
        <w:rPr>
          <w:rFonts w:eastAsia="Times New Roman" w:cstheme="minorHAnsi"/>
          <w:i/>
          <w:iCs/>
          <w:lang w:eastAsia="fr-FR"/>
        </w:rPr>
        <w:t>« le législateur n’a pas assuré une conciliation équilibrée entre les objectifs de valeur constitutionnelle de prévention des atteintes à l’ordre public et de recherche des auteurs d’infractions et le droit au respect de la vie privée »</w:t>
      </w:r>
      <w:r w:rsidRPr="006F1B91">
        <w:rPr>
          <w:rFonts w:eastAsia="Times New Roman" w:cstheme="minorHAnsi"/>
          <w:lang w:eastAsia="fr-FR"/>
        </w:rPr>
        <w:t>.</w:t>
      </w:r>
    </w:p>
    <w:p w14:paraId="67F4C3A8"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De même, la décision censure l’article 48 qui autorisait, lui, la vidéosurveillance réalisée par des caméras embarquées dans des véhicules, voitures ou hélicoptères par exemple. Comme pour les drones, le Conseil constitutionnel souligne la disproportion entre les pouvoirs dont auraient disposé les forces de l’ordre et les garanties accordées aux citoyens.</w:t>
      </w:r>
    </w:p>
    <w:p w14:paraId="3402E776"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Ces caméras, pointe-t-il, </w:t>
      </w:r>
      <w:r w:rsidRPr="006F1B91">
        <w:rPr>
          <w:rFonts w:eastAsia="Times New Roman" w:cstheme="minorHAnsi"/>
          <w:i/>
          <w:iCs/>
          <w:lang w:eastAsia="fr-FR"/>
        </w:rPr>
        <w:t>« peuvent capter, enregistrer et transmettre des images au sein de ces véhicules, sur la voie publique ou dans des lieux ouverts au public, y compris, le cas échéant, de l’intérieur des immeubles ainsi que de leurs entrées »</w:t>
      </w:r>
      <w:r w:rsidRPr="006F1B91">
        <w:rPr>
          <w:rFonts w:eastAsia="Times New Roman" w:cstheme="minorHAnsi"/>
          <w:lang w:eastAsia="fr-FR"/>
        </w:rPr>
        <w:t>.</w:t>
      </w:r>
    </w:p>
    <w:p w14:paraId="6E767521"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Le public, de son côté, ne serait que très rarement informé de leur présence. En effet, si l’information des personnes filmées est censée être la règle, l’article permettait de s’en dispenser lorsque </w:t>
      </w:r>
      <w:r w:rsidRPr="006F1B91">
        <w:rPr>
          <w:rFonts w:eastAsia="Times New Roman" w:cstheme="minorHAnsi"/>
          <w:i/>
          <w:iCs/>
          <w:lang w:eastAsia="fr-FR"/>
        </w:rPr>
        <w:t>« les circonstances l’interdisent »</w:t>
      </w:r>
      <w:r w:rsidRPr="006F1B91">
        <w:rPr>
          <w:rFonts w:eastAsia="Times New Roman" w:cstheme="minorHAnsi"/>
          <w:lang w:eastAsia="fr-FR"/>
        </w:rPr>
        <w:t xml:space="preserve"> ou lorsqu’elle </w:t>
      </w:r>
      <w:r w:rsidRPr="006F1B91">
        <w:rPr>
          <w:rFonts w:eastAsia="Times New Roman" w:cstheme="minorHAnsi"/>
          <w:i/>
          <w:iCs/>
          <w:lang w:eastAsia="fr-FR"/>
        </w:rPr>
        <w:t>« entrerait en contradiction avec les objectifs poursuivis »</w:t>
      </w:r>
      <w:r w:rsidRPr="006F1B91">
        <w:rPr>
          <w:rFonts w:eastAsia="Times New Roman" w:cstheme="minorHAnsi"/>
          <w:lang w:eastAsia="fr-FR"/>
        </w:rPr>
        <w:t>.</w:t>
      </w:r>
    </w:p>
    <w:p w14:paraId="517855F8"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Enfin, la loi n’avait </w:t>
      </w:r>
      <w:r w:rsidRPr="006F1B91">
        <w:rPr>
          <w:rFonts w:eastAsia="Times New Roman" w:cstheme="minorHAnsi"/>
          <w:i/>
          <w:iCs/>
          <w:lang w:eastAsia="fr-FR"/>
        </w:rPr>
        <w:t>« fixé aucune limite maximale à cette durée, ni aucune borne au périmètre dans lequel cette surveillance peut avoir lieu »</w:t>
      </w:r>
      <w:r w:rsidRPr="006F1B91">
        <w:rPr>
          <w:rFonts w:eastAsia="Times New Roman" w:cstheme="minorHAnsi"/>
          <w:lang w:eastAsia="fr-FR"/>
        </w:rPr>
        <w:t xml:space="preserve">. Les policiers auraient été les seuls à décider de l’usage de ces caméras, celui-ci n’étant soumis </w:t>
      </w:r>
      <w:r w:rsidRPr="006F1B91">
        <w:rPr>
          <w:rFonts w:eastAsia="Times New Roman" w:cstheme="minorHAnsi"/>
          <w:i/>
          <w:iCs/>
          <w:lang w:eastAsia="fr-FR"/>
        </w:rPr>
        <w:t>« à aucune autorisation, ni même à l’information d’une autre autorité »</w:t>
      </w:r>
      <w:r w:rsidRPr="006F1B91">
        <w:rPr>
          <w:rFonts w:eastAsia="Times New Roman" w:cstheme="minorHAnsi"/>
          <w:lang w:eastAsia="fr-FR"/>
        </w:rPr>
        <w:t>.</w:t>
      </w:r>
    </w:p>
    <w:p w14:paraId="1086E2FD"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Autre camouflet pour le gouvernement : le Conseil constitutionnel a intégralement censuré l’article 1</w:t>
      </w:r>
      <w:r w:rsidRPr="006F1B91">
        <w:rPr>
          <w:rFonts w:eastAsia="Times New Roman" w:cstheme="minorHAnsi"/>
          <w:vertAlign w:val="superscript"/>
          <w:lang w:eastAsia="fr-FR"/>
        </w:rPr>
        <w:t>er</w:t>
      </w:r>
      <w:r w:rsidRPr="006F1B91">
        <w:rPr>
          <w:rFonts w:eastAsia="Times New Roman" w:cstheme="minorHAnsi"/>
          <w:lang w:eastAsia="fr-FR"/>
        </w:rPr>
        <w:t xml:space="preserve"> de la loi qui contenait l’une des mesures au cœur du dispositif de</w:t>
      </w:r>
      <w:r w:rsidRPr="006F1B91">
        <w:rPr>
          <w:rFonts w:eastAsia="Times New Roman" w:cstheme="minorHAnsi"/>
          <w:i/>
          <w:iCs/>
          <w:lang w:eastAsia="fr-FR"/>
        </w:rPr>
        <w:t xml:space="preserve"> « continuum de sécurité »</w:t>
      </w:r>
      <w:r w:rsidRPr="006F1B91">
        <w:rPr>
          <w:rFonts w:eastAsia="Times New Roman" w:cstheme="minorHAnsi"/>
          <w:lang w:eastAsia="fr-FR"/>
        </w:rPr>
        <w:t xml:space="preserve"> que prévoit d’instaurer </w:t>
      </w:r>
      <w:proofErr w:type="gramStart"/>
      <w:r w:rsidRPr="006F1B91">
        <w:rPr>
          <w:rFonts w:eastAsia="Times New Roman" w:cstheme="minorHAnsi"/>
          <w:lang w:eastAsia="fr-FR"/>
        </w:rPr>
        <w:t>cet</w:t>
      </w:r>
      <w:proofErr w:type="gramEnd"/>
      <w:r w:rsidRPr="006F1B91">
        <w:rPr>
          <w:rFonts w:eastAsia="Times New Roman" w:cstheme="minorHAnsi"/>
          <w:lang w:eastAsia="fr-FR"/>
        </w:rPr>
        <w:t xml:space="preserve"> texte. Il devait permettre aux polices municipales de plus de quinze agents, ainsi qu’aux gardes champêtres, de disposer de certains pouvoirs de police judiciaire.</w:t>
      </w:r>
    </w:p>
    <w:p w14:paraId="21BEB9DC"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Ceux-ci auraient notamment pu directement constater certaines infractions ne nécessitant pas d’enquêtes comme l’usage de stupéfiants, l’occupation de halls d’immeuble, la conduite sans permis ou sans assurance, les dégradations…</w:t>
      </w:r>
    </w:p>
    <w:p w14:paraId="2CECFE5F"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Or, comme le rappelle le Conseil constitutionnel, l’article 66 de la Constitution affirme</w:t>
      </w:r>
      <w:r w:rsidRPr="006F1B91">
        <w:rPr>
          <w:rFonts w:eastAsia="Times New Roman" w:cstheme="minorHAnsi"/>
          <w:i/>
          <w:iCs/>
          <w:lang w:eastAsia="fr-FR"/>
        </w:rPr>
        <w:t xml:space="preserve"> « que la police judiciaire doit être placée sous la direction et le contrôle de l’autorité judiciaire »</w:t>
      </w:r>
      <w:r w:rsidRPr="006F1B91">
        <w:rPr>
          <w:rFonts w:eastAsia="Times New Roman" w:cstheme="minorHAnsi"/>
          <w:lang w:eastAsia="fr-FR"/>
        </w:rPr>
        <w:t>, ce qui n’est pas le cas des policiers municipaux ni des gardes champêtres qui obéissent à leur maire.</w:t>
      </w:r>
    </w:p>
    <w:p w14:paraId="1AE74700"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En conséquence, en confiant des pouvoirs aussi étendus aux agents de police municipale et aux gardes champêtres, </w:t>
      </w:r>
      <w:r w:rsidRPr="006F1B91">
        <w:rPr>
          <w:rFonts w:eastAsia="Times New Roman" w:cstheme="minorHAnsi"/>
          <w:i/>
          <w:iCs/>
          <w:lang w:eastAsia="fr-FR"/>
        </w:rPr>
        <w:t>« sans les mettre à disposition d’officiers de police judiciaire ou de personnes présentant des garanties équivalentes, le législateur a méconnu l’article 66 de la Constitution ».</w:t>
      </w:r>
    </w:p>
    <w:p w14:paraId="359B7F3A"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lastRenderedPageBreak/>
        <w:t>Également censuré, l’article 41 prévoyait d’autoriser</w:t>
      </w:r>
      <w:r w:rsidRPr="006F1B91">
        <w:rPr>
          <w:rFonts w:eastAsia="Times New Roman" w:cstheme="minorHAnsi"/>
          <w:i/>
          <w:iCs/>
          <w:lang w:eastAsia="fr-FR"/>
        </w:rPr>
        <w:t xml:space="preserve"> « le placement sous vidéosurveillance des personnes retenues dans les chambres d’isolement des centres de rétention administrative [où sont enfermés les étrangers sans papiers en vue de leur expulsion —ndlr] et de celles en garde à vue »</w:t>
      </w:r>
      <w:r w:rsidRPr="006F1B91">
        <w:rPr>
          <w:rFonts w:eastAsia="Times New Roman" w:cstheme="minorHAnsi"/>
          <w:lang w:eastAsia="fr-FR"/>
        </w:rPr>
        <w:t xml:space="preserve">. Le Conseil constitutionnel a jugé disproportionnés les pouvoirs confiés au </w:t>
      </w:r>
      <w:r w:rsidRPr="006F1B91">
        <w:rPr>
          <w:rFonts w:eastAsia="Times New Roman" w:cstheme="minorHAnsi"/>
          <w:i/>
          <w:iCs/>
          <w:lang w:eastAsia="fr-FR"/>
        </w:rPr>
        <w:t xml:space="preserve">« chef du service responsable de la sécurité des lieux » </w:t>
      </w:r>
      <w:r w:rsidRPr="006F1B91">
        <w:rPr>
          <w:rFonts w:eastAsia="Times New Roman" w:cstheme="minorHAnsi"/>
          <w:lang w:eastAsia="fr-FR"/>
        </w:rPr>
        <w:t>qui aurait pu décider, seul, de la mise sous vidéosurveillance ainsi que de son renouvellement.</w:t>
      </w:r>
    </w:p>
    <w:p w14:paraId="296C9EB3"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Les « Sages » ont aussi donné </w:t>
      </w:r>
      <w:hyperlink r:id="rId6" w:tgtFrame="_blank" w:history="1">
        <w:r w:rsidRPr="006F1B91">
          <w:rPr>
            <w:rFonts w:eastAsia="Times New Roman" w:cstheme="minorHAnsi"/>
            <w:color w:val="0000FF"/>
            <w:u w:val="single"/>
            <w:lang w:eastAsia="fr-FR"/>
          </w:rPr>
          <w:t>gain de cause aux associations et syndicats de défense du droit au logement</w:t>
        </w:r>
      </w:hyperlink>
      <w:r w:rsidRPr="006F1B91">
        <w:rPr>
          <w:rFonts w:eastAsia="Times New Roman" w:cstheme="minorHAnsi"/>
          <w:lang w:eastAsia="fr-FR"/>
        </w:rPr>
        <w:t xml:space="preserve"> en censurant l’article 2 qui durcissait la répression contre les squats et les occupations. Il prévoyait de faire passer d’un an d’emprisonnement et 15 000 euros d’amende à trois ans d’emprisonnement et 45 000 euros d’amende l’introduction et le </w:t>
      </w:r>
      <w:proofErr w:type="spellStart"/>
      <w:r w:rsidRPr="006F1B91">
        <w:rPr>
          <w:rFonts w:eastAsia="Times New Roman" w:cstheme="minorHAnsi"/>
          <w:lang w:eastAsia="fr-FR"/>
        </w:rPr>
        <w:t>maintient</w:t>
      </w:r>
      <w:proofErr w:type="spellEnd"/>
      <w:r w:rsidRPr="006F1B91">
        <w:rPr>
          <w:rFonts w:eastAsia="Times New Roman" w:cstheme="minorHAnsi"/>
          <w:lang w:eastAsia="fr-FR"/>
        </w:rPr>
        <w:t xml:space="preserve"> illicite dans un logement.</w:t>
      </w:r>
    </w:p>
    <w:p w14:paraId="47110F92"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Cette disposition n’avait été introduite qu’après le début de l’examen du texte, </w:t>
      </w:r>
      <w:r w:rsidRPr="006F1B91">
        <w:rPr>
          <w:rFonts w:eastAsia="Times New Roman" w:cstheme="minorHAnsi"/>
          <w:i/>
          <w:iCs/>
          <w:lang w:eastAsia="fr-FR"/>
        </w:rPr>
        <w:t>via</w:t>
      </w:r>
      <w:r w:rsidRPr="006F1B91">
        <w:rPr>
          <w:rFonts w:eastAsia="Times New Roman" w:cstheme="minorHAnsi"/>
          <w:lang w:eastAsia="fr-FR"/>
        </w:rPr>
        <w:t xml:space="preserve"> un amendement. Et, comme le rappelle le Conseil, l’article 45 de la Constitution dispose que les amendements déposés en première lecture ne sont recevables que s’il </w:t>
      </w:r>
      <w:r w:rsidRPr="006F1B91">
        <w:rPr>
          <w:rFonts w:eastAsia="Times New Roman" w:cstheme="minorHAnsi"/>
          <w:i/>
          <w:iCs/>
          <w:lang w:eastAsia="fr-FR"/>
        </w:rPr>
        <w:t>« présente un lien, même indirect, avec le texte déposé ou transmis »</w:t>
      </w:r>
      <w:r w:rsidRPr="006F1B91">
        <w:rPr>
          <w:rFonts w:eastAsia="Times New Roman" w:cstheme="minorHAnsi"/>
          <w:lang w:eastAsia="fr-FR"/>
        </w:rPr>
        <w:t>.</w:t>
      </w:r>
    </w:p>
    <w:p w14:paraId="748F2602"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Or, cette mesure ne présente aucun lien avec l’article 1</w:t>
      </w:r>
      <w:r w:rsidRPr="006F1B91">
        <w:rPr>
          <w:rFonts w:eastAsia="Times New Roman" w:cstheme="minorHAnsi"/>
          <w:vertAlign w:val="superscript"/>
          <w:lang w:eastAsia="fr-FR"/>
        </w:rPr>
        <w:t>er</w:t>
      </w:r>
      <w:r w:rsidRPr="006F1B91">
        <w:rPr>
          <w:rFonts w:eastAsia="Times New Roman" w:cstheme="minorHAnsi"/>
          <w:lang w:eastAsia="fr-FR"/>
        </w:rPr>
        <w:t xml:space="preserve"> auquel elle était à l’origine rattachée. </w:t>
      </w:r>
      <w:r w:rsidRPr="006F1B91">
        <w:rPr>
          <w:rFonts w:eastAsia="Times New Roman" w:cstheme="minorHAnsi"/>
          <w:i/>
          <w:iCs/>
          <w:lang w:eastAsia="fr-FR"/>
        </w:rPr>
        <w:t>« Elles ne présentent pas non plus de lien, même indirect, avec aucune autre des dispositions qui figuraient dans la proposition de loi déposée sur le bureau de l'Assemblée nationale »</w:t>
      </w:r>
      <w:r w:rsidRPr="006F1B91">
        <w:rPr>
          <w:rFonts w:eastAsia="Times New Roman" w:cstheme="minorHAnsi"/>
          <w:lang w:eastAsia="fr-FR"/>
        </w:rPr>
        <w:t>, insiste la décision avant de prononcer l’inconstitutionnalité de l’article 2.</w:t>
      </w:r>
    </w:p>
    <w:p w14:paraId="32B20FFE"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Face à la sévérité du verdict du juge constitutionnel, la commission des lois du Sénat a publié un communiqué dans lequel elle </w:t>
      </w:r>
      <w:r w:rsidRPr="006F1B91">
        <w:rPr>
          <w:rFonts w:eastAsia="Times New Roman" w:cstheme="minorHAnsi"/>
          <w:i/>
          <w:iCs/>
          <w:lang w:eastAsia="fr-FR"/>
        </w:rPr>
        <w:t>« prend acte »</w:t>
      </w:r>
      <w:r w:rsidRPr="006F1B91">
        <w:rPr>
          <w:rFonts w:eastAsia="Times New Roman" w:cstheme="minorHAnsi"/>
          <w:lang w:eastAsia="fr-FR"/>
        </w:rPr>
        <w:t xml:space="preserve"> de la décision. Celle-ci, estiment les sénateurs, </w:t>
      </w:r>
      <w:r w:rsidRPr="006F1B91">
        <w:rPr>
          <w:rFonts w:eastAsia="Times New Roman" w:cstheme="minorHAnsi"/>
          <w:i/>
          <w:iCs/>
          <w:lang w:eastAsia="fr-FR"/>
        </w:rPr>
        <w:t xml:space="preserve">« marque un durcissement net de la position du Conseil constitutionnel et </w:t>
      </w:r>
      <w:proofErr w:type="gramStart"/>
      <w:r w:rsidRPr="006F1B91">
        <w:rPr>
          <w:rFonts w:eastAsia="Times New Roman" w:cstheme="minorHAnsi"/>
          <w:i/>
          <w:iCs/>
          <w:lang w:eastAsia="fr-FR"/>
        </w:rPr>
        <w:t>un accentuation</w:t>
      </w:r>
      <w:proofErr w:type="gramEnd"/>
      <w:r w:rsidRPr="006F1B91">
        <w:rPr>
          <w:rFonts w:eastAsia="Times New Roman" w:cstheme="minorHAnsi"/>
          <w:i/>
          <w:iCs/>
          <w:lang w:eastAsia="fr-FR"/>
        </w:rPr>
        <w:t xml:space="preserve"> des exigences pesant sur les forces de sécurité intérieure et sur la police municipale »</w:t>
      </w:r>
      <w:r w:rsidRPr="006F1B91">
        <w:rPr>
          <w:rFonts w:eastAsia="Times New Roman" w:cstheme="minorHAnsi"/>
          <w:lang w:eastAsia="fr-FR"/>
        </w:rPr>
        <w:t>.</w:t>
      </w:r>
    </w:p>
    <w:p w14:paraId="741C4116"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Le ministre de l’intérieur Gérald </w:t>
      </w:r>
      <w:proofErr w:type="spellStart"/>
      <w:r w:rsidRPr="006F1B91">
        <w:rPr>
          <w:rFonts w:eastAsia="Times New Roman" w:cstheme="minorHAnsi"/>
          <w:lang w:eastAsia="fr-FR"/>
        </w:rPr>
        <w:t>Daramin</w:t>
      </w:r>
      <w:proofErr w:type="spellEnd"/>
      <w:r w:rsidRPr="006F1B91">
        <w:rPr>
          <w:rFonts w:eastAsia="Times New Roman" w:cstheme="minorHAnsi"/>
          <w:lang w:eastAsia="fr-FR"/>
        </w:rPr>
        <w:t xml:space="preserve">, a lui aussi pris </w:t>
      </w:r>
      <w:r w:rsidRPr="006F1B91">
        <w:rPr>
          <w:rFonts w:eastAsia="Times New Roman" w:cstheme="minorHAnsi"/>
          <w:i/>
          <w:iCs/>
          <w:lang w:eastAsia="fr-FR"/>
        </w:rPr>
        <w:t>« acte »</w:t>
      </w:r>
      <w:r w:rsidRPr="006F1B91">
        <w:rPr>
          <w:rFonts w:eastAsia="Times New Roman" w:cstheme="minorHAnsi"/>
          <w:lang w:eastAsia="fr-FR"/>
        </w:rPr>
        <w:t xml:space="preserve">, sur Twitter, de la décision tout en se félicitant </w:t>
      </w:r>
      <w:r w:rsidRPr="006F1B91">
        <w:rPr>
          <w:rFonts w:eastAsia="Times New Roman" w:cstheme="minorHAnsi"/>
          <w:i/>
          <w:iCs/>
          <w:lang w:eastAsia="fr-FR"/>
        </w:rPr>
        <w:t>« des nombreuses dispositions validées »</w:t>
      </w:r>
      <w:r w:rsidRPr="006F1B91">
        <w:rPr>
          <w:rFonts w:eastAsia="Times New Roman" w:cstheme="minorHAnsi"/>
          <w:lang w:eastAsia="fr-FR"/>
        </w:rPr>
        <w:t xml:space="preserve">. Il a annoncé qu’il proposerait </w:t>
      </w:r>
      <w:r w:rsidRPr="006F1B91">
        <w:rPr>
          <w:rFonts w:eastAsia="Times New Roman" w:cstheme="minorHAnsi"/>
          <w:i/>
          <w:iCs/>
          <w:lang w:eastAsia="fr-FR"/>
        </w:rPr>
        <w:t>« au premier ministre d’améliorer les dispositions qui connaissent des réserves du Conseil constitutionnel »</w:t>
      </w:r>
      <w:r w:rsidRPr="006F1B91">
        <w:rPr>
          <w:rFonts w:eastAsia="Times New Roman" w:cstheme="minorHAnsi"/>
          <w:lang w:eastAsia="fr-FR"/>
        </w:rPr>
        <w:t>.</w:t>
      </w:r>
    </w:p>
    <w:p w14:paraId="7AF9E392"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De son côté, l’association de défense des libertés numériques, La Quadrature du net, a salué, dans un communiqué une </w:t>
      </w:r>
      <w:r w:rsidRPr="006F1B91">
        <w:rPr>
          <w:rFonts w:eastAsia="Times New Roman" w:cstheme="minorHAnsi"/>
          <w:i/>
          <w:iCs/>
          <w:lang w:eastAsia="fr-FR"/>
        </w:rPr>
        <w:t>« victoire symbolique (…) aussi inespérée qu’inattendue »</w:t>
      </w:r>
      <w:r w:rsidRPr="006F1B91">
        <w:rPr>
          <w:rFonts w:eastAsia="Times New Roman" w:cstheme="minorHAnsi"/>
          <w:lang w:eastAsia="fr-FR"/>
        </w:rPr>
        <w:t xml:space="preserve">. </w:t>
      </w:r>
      <w:r w:rsidRPr="006F1B91">
        <w:rPr>
          <w:rFonts w:eastAsia="Times New Roman" w:cstheme="minorHAnsi"/>
          <w:i/>
          <w:iCs/>
          <w:lang w:eastAsia="fr-FR"/>
        </w:rPr>
        <w:t>« Nous pourrons continuer de manifester sans drone ni hélicoptère pour nous surveiller (ou du moins, si la police en déploie, elle le fera illégalement et nous aurons la légitimité démocratique de la faire cesser) »</w:t>
      </w:r>
      <w:r w:rsidRPr="006F1B91">
        <w:rPr>
          <w:rFonts w:eastAsia="Times New Roman" w:cstheme="minorHAnsi"/>
          <w:lang w:eastAsia="fr-FR"/>
        </w:rPr>
        <w:t>, écrit-elle.</w:t>
      </w:r>
    </w:p>
    <w:p w14:paraId="5F9C5E89" w14:textId="77777777" w:rsidR="006F1B91" w:rsidRPr="006F1B91" w:rsidRDefault="006F1B91" w:rsidP="006F1B91">
      <w:pPr>
        <w:spacing w:before="100" w:beforeAutospacing="1" w:after="100" w:afterAutospacing="1" w:line="240" w:lineRule="auto"/>
        <w:rPr>
          <w:rFonts w:eastAsia="Times New Roman" w:cstheme="minorHAnsi"/>
          <w:lang w:eastAsia="fr-FR"/>
        </w:rPr>
      </w:pPr>
      <w:r w:rsidRPr="006F1B91">
        <w:rPr>
          <w:rFonts w:eastAsia="Times New Roman" w:cstheme="minorHAnsi"/>
          <w:lang w:eastAsia="fr-FR"/>
        </w:rPr>
        <w:t xml:space="preserve">Elle souligne cependant que de </w:t>
      </w:r>
      <w:proofErr w:type="gramStart"/>
      <w:r w:rsidRPr="006F1B91">
        <w:rPr>
          <w:rFonts w:eastAsia="Times New Roman" w:cstheme="minorHAnsi"/>
          <w:lang w:eastAsia="fr-FR"/>
        </w:rPr>
        <w:t>nombreuses autre dispositions</w:t>
      </w:r>
      <w:proofErr w:type="gramEnd"/>
      <w:r w:rsidRPr="006F1B91">
        <w:rPr>
          <w:rFonts w:eastAsia="Times New Roman" w:cstheme="minorHAnsi"/>
          <w:lang w:eastAsia="fr-FR"/>
        </w:rPr>
        <w:t xml:space="preserve"> ont, elles, étaient déclarées conformes à la Constitution :</w:t>
      </w:r>
      <w:r w:rsidRPr="006F1B91">
        <w:rPr>
          <w:rFonts w:eastAsia="Times New Roman" w:cstheme="minorHAnsi"/>
          <w:i/>
          <w:iCs/>
          <w:lang w:eastAsia="fr-FR"/>
        </w:rPr>
        <w:t xml:space="preserve"> « L’extension à la police municipale de pouvoirs de vidéosurveillance (et à la SNCF et RATP), la surveillance des halls d’immeubles, la transmission en temps-réel des images des caméras-piétons ou leur usage pour les gardes-champêtres »</w:t>
      </w:r>
      <w:r w:rsidRPr="006F1B91">
        <w:rPr>
          <w:rFonts w:eastAsia="Times New Roman" w:cstheme="minorHAnsi"/>
          <w:lang w:eastAsia="fr-FR"/>
        </w:rPr>
        <w:t>.</w:t>
      </w:r>
    </w:p>
    <w:p w14:paraId="0CE38969" w14:textId="77777777" w:rsidR="006F1B91" w:rsidRPr="006F1B91" w:rsidRDefault="006F1B91" w:rsidP="006F1B91">
      <w:pPr>
        <w:spacing w:before="100" w:beforeAutospacing="1" w:after="100" w:afterAutospacing="1" w:line="240" w:lineRule="auto"/>
        <w:rPr>
          <w:rFonts w:eastAsia="Times New Roman" w:cstheme="minorHAnsi"/>
          <w:lang w:eastAsia="fr-FR"/>
        </w:rPr>
      </w:pPr>
    </w:p>
    <w:p w14:paraId="6D436C0A" w14:textId="77777777" w:rsidR="00447BA3" w:rsidRPr="006F1B91" w:rsidRDefault="00447BA3">
      <w:pPr>
        <w:rPr>
          <w:rFonts w:cstheme="minorHAnsi"/>
        </w:rPr>
      </w:pPr>
    </w:p>
    <w:sectPr w:rsidR="00447BA3" w:rsidRPr="006F1B91" w:rsidSect="006F1B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91"/>
    <w:rsid w:val="00447BA3"/>
    <w:rsid w:val="006F1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F5AB"/>
  <w15:chartTrackingRefBased/>
  <w15:docId w15:val="{1D559D25-0B7E-47C6-A99D-A1B70FAE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F1B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1B9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F1B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F1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5584">
      <w:bodyDiv w:val="1"/>
      <w:marLeft w:val="0"/>
      <w:marRight w:val="0"/>
      <w:marTop w:val="0"/>
      <w:marBottom w:val="0"/>
      <w:divBdr>
        <w:top w:val="none" w:sz="0" w:space="0" w:color="auto"/>
        <w:left w:val="none" w:sz="0" w:space="0" w:color="auto"/>
        <w:bottom w:val="none" w:sz="0" w:space="0" w:color="auto"/>
        <w:right w:val="none" w:sz="0" w:space="0" w:color="auto"/>
      </w:divBdr>
      <w:divsChild>
        <w:div w:id="1238251702">
          <w:marLeft w:val="0"/>
          <w:marRight w:val="0"/>
          <w:marTop w:val="0"/>
          <w:marBottom w:val="0"/>
          <w:divBdr>
            <w:top w:val="none" w:sz="0" w:space="0" w:color="auto"/>
            <w:left w:val="none" w:sz="0" w:space="0" w:color="auto"/>
            <w:bottom w:val="none" w:sz="0" w:space="0" w:color="auto"/>
            <w:right w:val="none" w:sz="0" w:space="0" w:color="auto"/>
          </w:divBdr>
          <w:divsChild>
            <w:div w:id="1410034360">
              <w:marLeft w:val="0"/>
              <w:marRight w:val="0"/>
              <w:marTop w:val="0"/>
              <w:marBottom w:val="0"/>
              <w:divBdr>
                <w:top w:val="none" w:sz="0" w:space="0" w:color="auto"/>
                <w:left w:val="none" w:sz="0" w:space="0" w:color="auto"/>
                <w:bottom w:val="none" w:sz="0" w:space="0" w:color="auto"/>
                <w:right w:val="none" w:sz="0" w:space="0" w:color="auto"/>
              </w:divBdr>
              <w:divsChild>
                <w:div w:id="1069883604">
                  <w:marLeft w:val="0"/>
                  <w:marRight w:val="0"/>
                  <w:marTop w:val="0"/>
                  <w:marBottom w:val="0"/>
                  <w:divBdr>
                    <w:top w:val="none" w:sz="0" w:space="0" w:color="auto"/>
                    <w:left w:val="none" w:sz="0" w:space="0" w:color="auto"/>
                    <w:bottom w:val="none" w:sz="0" w:space="0" w:color="auto"/>
                    <w:right w:val="none" w:sz="0" w:space="0" w:color="auto"/>
                  </w:divBdr>
                </w:div>
                <w:div w:id="1118717302">
                  <w:marLeft w:val="0"/>
                  <w:marRight w:val="0"/>
                  <w:marTop w:val="0"/>
                  <w:marBottom w:val="0"/>
                  <w:divBdr>
                    <w:top w:val="none" w:sz="0" w:space="0" w:color="auto"/>
                    <w:left w:val="none" w:sz="0" w:space="0" w:color="auto"/>
                    <w:bottom w:val="none" w:sz="0" w:space="0" w:color="auto"/>
                    <w:right w:val="none" w:sz="0" w:space="0" w:color="auto"/>
                  </w:divBdr>
                  <w:divsChild>
                    <w:div w:id="21216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132">
              <w:marLeft w:val="0"/>
              <w:marRight w:val="0"/>
              <w:marTop w:val="0"/>
              <w:marBottom w:val="0"/>
              <w:divBdr>
                <w:top w:val="none" w:sz="0" w:space="0" w:color="auto"/>
                <w:left w:val="none" w:sz="0" w:space="0" w:color="auto"/>
                <w:bottom w:val="none" w:sz="0" w:space="0" w:color="auto"/>
                <w:right w:val="none" w:sz="0" w:space="0" w:color="auto"/>
              </w:divBdr>
              <w:divsChild>
                <w:div w:id="1243835443">
                  <w:marLeft w:val="0"/>
                  <w:marRight w:val="0"/>
                  <w:marTop w:val="0"/>
                  <w:marBottom w:val="0"/>
                  <w:divBdr>
                    <w:top w:val="none" w:sz="0" w:space="0" w:color="auto"/>
                    <w:left w:val="none" w:sz="0" w:space="0" w:color="auto"/>
                    <w:bottom w:val="none" w:sz="0" w:space="0" w:color="auto"/>
                    <w:right w:val="none" w:sz="0" w:space="0" w:color="auto"/>
                  </w:divBdr>
                  <w:divsChild>
                    <w:div w:id="213582256">
                      <w:marLeft w:val="0"/>
                      <w:marRight w:val="0"/>
                      <w:marTop w:val="0"/>
                      <w:marBottom w:val="0"/>
                      <w:divBdr>
                        <w:top w:val="none" w:sz="0" w:space="0" w:color="auto"/>
                        <w:left w:val="none" w:sz="0" w:space="0" w:color="auto"/>
                        <w:bottom w:val="none" w:sz="0" w:space="0" w:color="auto"/>
                        <w:right w:val="none" w:sz="0" w:space="0" w:color="auto"/>
                      </w:divBdr>
                      <w:divsChild>
                        <w:div w:id="1234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apart.fr/journal/france/110521/la-penalisation-des-squats-inquiete-les-associations" TargetMode="External"/><Relationship Id="rId5" Type="http://schemas.openxmlformats.org/officeDocument/2006/relationships/hyperlink" Target="https://twitter.com/cdeloire/status/1395400096796270594" TargetMode="External"/><Relationship Id="rId4" Type="http://schemas.openxmlformats.org/officeDocument/2006/relationships/hyperlink" Target="https://www.mediapart.fr/journal/france/211120/paris-des-milliers-de-manifestants-pour-contrer-la-derive-liberticide-du-pouvoi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9609</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2021-05-21T09:35:00Z</dcterms:created>
  <dcterms:modified xsi:type="dcterms:W3CDTF">2021-05-21T09:35:00Z</dcterms:modified>
</cp:coreProperties>
</file>