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BF51A" w14:textId="77777777" w:rsidR="006F1B91" w:rsidRPr="006F1B91" w:rsidRDefault="006F1B91" w:rsidP="006F1B91">
      <w:pPr>
        <w:spacing w:before="100" w:beforeAutospacing="1" w:after="100" w:afterAutospacing="1" w:line="240" w:lineRule="auto"/>
        <w:outlineLvl w:val="0"/>
        <w:rPr>
          <w:rFonts w:eastAsia="Times New Roman" w:cstheme="minorHAnsi"/>
          <w:b/>
          <w:bCs/>
          <w:kern w:val="36"/>
          <w:lang w:eastAsia="fr-FR"/>
        </w:rPr>
      </w:pPr>
      <w:proofErr w:type="gramStart"/>
      <w:r w:rsidRPr="006F1B91">
        <w:rPr>
          <w:rFonts w:eastAsia="Times New Roman" w:cstheme="minorHAnsi"/>
          <w:b/>
          <w:bCs/>
          <w:kern w:val="36"/>
          <w:lang w:eastAsia="fr-FR"/>
        </w:rPr>
        <w:t>«Sécurité</w:t>
      </w:r>
      <w:proofErr w:type="gramEnd"/>
      <w:r w:rsidRPr="006F1B91">
        <w:rPr>
          <w:rFonts w:eastAsia="Times New Roman" w:cstheme="minorHAnsi"/>
          <w:b/>
          <w:bCs/>
          <w:kern w:val="36"/>
          <w:lang w:eastAsia="fr-FR"/>
        </w:rPr>
        <w:t xml:space="preserve"> globale»: le rappel du Conseil constitutionnel aux libertés fondamentales</w:t>
      </w:r>
    </w:p>
    <w:p w14:paraId="3056B0B3" w14:textId="77777777" w:rsidR="006F1B91" w:rsidRPr="006F1B91" w:rsidRDefault="006F1B91" w:rsidP="006F1B91">
      <w:pPr>
        <w:spacing w:after="0" w:line="240" w:lineRule="auto"/>
        <w:rPr>
          <w:rFonts w:eastAsia="Times New Roman" w:cstheme="minorHAnsi"/>
          <w:lang w:eastAsia="fr-FR"/>
        </w:rPr>
      </w:pPr>
      <w:r w:rsidRPr="006F1B91">
        <w:rPr>
          <w:rFonts w:eastAsia="Times New Roman" w:cstheme="minorHAnsi"/>
          <w:lang w:eastAsia="fr-FR"/>
        </w:rPr>
        <w:t xml:space="preserve">Jérôme </w:t>
      </w:r>
      <w:proofErr w:type="spellStart"/>
      <w:r w:rsidRPr="006F1B91">
        <w:rPr>
          <w:rFonts w:eastAsia="Times New Roman" w:cstheme="minorHAnsi"/>
          <w:lang w:eastAsia="fr-FR"/>
        </w:rPr>
        <w:t>Hourdeaux</w:t>
      </w:r>
      <w:proofErr w:type="spellEnd"/>
    </w:p>
    <w:p w14:paraId="08C59D18" w14:textId="77777777" w:rsidR="006F1B91" w:rsidRPr="006F1B91" w:rsidRDefault="006F1B91" w:rsidP="006F1B91">
      <w:pPr>
        <w:spacing w:after="0" w:line="240" w:lineRule="auto"/>
        <w:rPr>
          <w:rFonts w:eastAsia="Times New Roman" w:cstheme="minorHAnsi"/>
          <w:lang w:eastAsia="fr-FR"/>
        </w:rPr>
      </w:pPr>
      <w:r w:rsidRPr="006F1B91">
        <w:rPr>
          <w:rFonts w:eastAsia="Times New Roman" w:cstheme="minorHAnsi"/>
          <w:lang w:eastAsia="fr-FR"/>
        </w:rPr>
        <w:t>11-14 minutes</w:t>
      </w:r>
    </w:p>
    <w:p w14:paraId="202861EF" w14:textId="77777777" w:rsidR="006F1B91" w:rsidRPr="006F1B91" w:rsidRDefault="006F1B91" w:rsidP="006F1B91">
      <w:pPr>
        <w:spacing w:after="0" w:line="240" w:lineRule="auto"/>
        <w:rPr>
          <w:rFonts w:eastAsia="Times New Roman" w:cstheme="minorHAnsi"/>
          <w:lang w:eastAsia="fr-FR"/>
        </w:rPr>
      </w:pPr>
      <w:r w:rsidRPr="006F1B91">
        <w:rPr>
          <w:rFonts w:eastAsia="Times New Roman" w:cstheme="minorHAnsi"/>
          <w:lang w:eastAsia="fr-FR"/>
        </w:rPr>
        <w:pict w14:anchorId="7668C1B3">
          <v:rect id="_x0000_i1025" style="width:0;height:1.5pt" o:hralign="center" o:hrstd="t" o:hr="t" fillcolor="#a0a0a0" stroked="f"/>
        </w:pict>
      </w:r>
    </w:p>
    <w:p w14:paraId="4841DADA" w14:textId="77777777" w:rsidR="006F1B91" w:rsidRPr="006F1B91" w:rsidRDefault="006F1B91" w:rsidP="006F1B91">
      <w:pPr>
        <w:spacing w:before="100" w:beforeAutospacing="1" w:after="100" w:afterAutospacing="1" w:line="240" w:lineRule="auto"/>
        <w:rPr>
          <w:rFonts w:eastAsia="Times New Roman" w:cstheme="minorHAnsi"/>
          <w:lang w:eastAsia="fr-FR"/>
        </w:rPr>
      </w:pPr>
      <w:r w:rsidRPr="006F1B91">
        <w:rPr>
          <w:rFonts w:eastAsia="Times New Roman" w:cstheme="minorHAnsi"/>
          <w:lang w:eastAsia="fr-FR"/>
        </w:rPr>
        <w:t>Le Conseil constitutionnel a dépouillé, jeudi 20 mai, la loi « sécurité globale » de plusieurs de ses mesures phares. Au total, ce sont sept articles qui ont été censurés entièrement ou partiellement, contre neuf articles déclarés conformes à la Constitution.</w:t>
      </w:r>
    </w:p>
    <w:p w14:paraId="2175AC8C" w14:textId="77777777" w:rsidR="006F1B91" w:rsidRPr="006F1B91" w:rsidRDefault="006F1B91" w:rsidP="006F1B91">
      <w:pPr>
        <w:spacing w:before="100" w:beforeAutospacing="1" w:after="100" w:afterAutospacing="1" w:line="240" w:lineRule="auto"/>
        <w:rPr>
          <w:rFonts w:eastAsia="Times New Roman" w:cstheme="minorHAnsi"/>
          <w:lang w:eastAsia="fr-FR"/>
        </w:rPr>
      </w:pPr>
      <w:r w:rsidRPr="006F1B91">
        <w:rPr>
          <w:rFonts w:eastAsia="Times New Roman" w:cstheme="minorHAnsi"/>
          <w:lang w:eastAsia="fr-FR"/>
        </w:rPr>
        <w:t xml:space="preserve">Les « Sages » ont considérablement réduit la portée de l’article 52 qui, à l’origine, visait à interdire la diffusion d’images de policiers afin de nuire à leur intégrité physique ou psychique. Initialement numérotée article 24, cette disposition avait déclenché, au début de l’année 2021, </w:t>
      </w:r>
      <w:hyperlink r:id="rId4" w:tgtFrame="_blank" w:history="1">
        <w:r w:rsidRPr="006F1B91">
          <w:rPr>
            <w:rFonts w:eastAsia="Times New Roman" w:cstheme="minorHAnsi"/>
            <w:color w:val="0000FF"/>
            <w:u w:val="single"/>
            <w:lang w:eastAsia="fr-FR"/>
          </w:rPr>
          <w:t>une vaste mobilisation de la société civile</w:t>
        </w:r>
      </w:hyperlink>
      <w:r w:rsidRPr="006F1B91">
        <w:rPr>
          <w:rFonts w:eastAsia="Times New Roman" w:cstheme="minorHAnsi"/>
          <w:lang w:eastAsia="fr-FR"/>
        </w:rPr>
        <w:t>.</w:t>
      </w:r>
    </w:p>
    <w:p w14:paraId="3A69380C" w14:textId="77777777" w:rsidR="006F1B91" w:rsidRPr="006F1B91" w:rsidRDefault="006F1B91" w:rsidP="006F1B91">
      <w:pPr>
        <w:spacing w:before="100" w:beforeAutospacing="1" w:after="100" w:afterAutospacing="1" w:line="240" w:lineRule="auto"/>
        <w:rPr>
          <w:rFonts w:eastAsia="Times New Roman" w:cstheme="minorHAnsi"/>
          <w:lang w:eastAsia="fr-FR"/>
        </w:rPr>
      </w:pPr>
      <w:r w:rsidRPr="006F1B91">
        <w:rPr>
          <w:rFonts w:eastAsia="Times New Roman" w:cstheme="minorHAnsi"/>
          <w:lang w:eastAsia="fr-FR"/>
        </w:rPr>
        <w:t xml:space="preserve">Espérant calmer les inquiétudes, le gouvernement avait introduit un nouvel article 18 à la loi « séparatisme », encore en cours d’examen, créant un nouveau délit de </w:t>
      </w:r>
      <w:r w:rsidRPr="006F1B91">
        <w:rPr>
          <w:rFonts w:eastAsia="Times New Roman" w:cstheme="minorHAnsi"/>
          <w:i/>
          <w:iCs/>
          <w:lang w:eastAsia="fr-FR"/>
        </w:rPr>
        <w:t>« mise en danger d’autrui par la diffusion d’informations relatives à la vie privée »</w:t>
      </w:r>
      <w:r w:rsidRPr="006F1B91">
        <w:rPr>
          <w:rFonts w:eastAsia="Times New Roman" w:cstheme="minorHAnsi"/>
          <w:lang w:eastAsia="fr-FR"/>
        </w:rPr>
        <w:t>.</w:t>
      </w:r>
    </w:p>
    <w:p w14:paraId="7197FF3F" w14:textId="77777777" w:rsidR="006F1B91" w:rsidRPr="006F1B91" w:rsidRDefault="006F1B91" w:rsidP="006F1B91">
      <w:pPr>
        <w:spacing w:before="100" w:beforeAutospacing="1" w:after="100" w:afterAutospacing="1" w:line="240" w:lineRule="auto"/>
        <w:rPr>
          <w:rFonts w:eastAsia="Times New Roman" w:cstheme="minorHAnsi"/>
          <w:lang w:eastAsia="fr-FR"/>
        </w:rPr>
      </w:pPr>
      <w:r w:rsidRPr="006F1B91">
        <w:rPr>
          <w:rFonts w:eastAsia="Times New Roman" w:cstheme="minorHAnsi"/>
          <w:lang w:eastAsia="fr-FR"/>
        </w:rPr>
        <w:t xml:space="preserve">Concernant la protection de l’image des policiers, l’article 24 avait été divisé en deux infractions distinctes et complémentaires. D’un côté, il punissait de cinq ans de prison et de 75 000 euros d’amende le fait de provoquer à l’identification, dans le but de nuire à l'intégrité physique ou psychique d’un policier ou d’un douanier, agissant </w:t>
      </w:r>
      <w:r w:rsidRPr="006F1B91">
        <w:rPr>
          <w:rFonts w:eastAsia="Times New Roman" w:cstheme="minorHAnsi"/>
          <w:i/>
          <w:iCs/>
          <w:lang w:eastAsia="fr-FR"/>
        </w:rPr>
        <w:t>« dans le cadre d’une opération »</w:t>
      </w:r>
      <w:r w:rsidRPr="006F1B91">
        <w:rPr>
          <w:rFonts w:eastAsia="Times New Roman" w:cstheme="minorHAnsi"/>
          <w:lang w:eastAsia="fr-FR"/>
        </w:rPr>
        <w:t>, ainsi que de sa famille.</w:t>
      </w:r>
    </w:p>
    <w:p w14:paraId="6F27FA63" w14:textId="77777777" w:rsidR="006F1B91" w:rsidRPr="006F1B91" w:rsidRDefault="006F1B91" w:rsidP="006F1B91">
      <w:pPr>
        <w:spacing w:before="100" w:beforeAutospacing="1" w:after="100" w:afterAutospacing="1" w:line="240" w:lineRule="auto"/>
        <w:rPr>
          <w:rFonts w:eastAsia="Times New Roman" w:cstheme="minorHAnsi"/>
          <w:lang w:eastAsia="fr-FR"/>
        </w:rPr>
      </w:pPr>
      <w:r w:rsidRPr="006F1B91">
        <w:rPr>
          <w:rFonts w:eastAsia="Times New Roman" w:cstheme="minorHAnsi"/>
          <w:lang w:eastAsia="fr-FR"/>
        </w:rPr>
        <w:t>Parallèlement, une autre infraction punit de cinq ans de prison et de 300 000 euros d’amende la constitution et le traitement informatique de base de données personnelles</w:t>
      </w:r>
      <w:r w:rsidRPr="006F1B91">
        <w:rPr>
          <w:rFonts w:eastAsia="Times New Roman" w:cstheme="minorHAnsi"/>
          <w:i/>
          <w:iCs/>
          <w:lang w:eastAsia="fr-FR"/>
        </w:rPr>
        <w:t xml:space="preserve"> « relatives à des fonctionnaires ou personnes chargées d’un service public »</w:t>
      </w:r>
      <w:r w:rsidRPr="006F1B91">
        <w:rPr>
          <w:rFonts w:eastAsia="Times New Roman" w:cstheme="minorHAnsi"/>
          <w:lang w:eastAsia="fr-FR"/>
        </w:rPr>
        <w:t>.</w:t>
      </w:r>
    </w:p>
    <w:p w14:paraId="6BBD9462" w14:textId="77777777" w:rsidR="006F1B91" w:rsidRPr="006F1B91" w:rsidRDefault="006F1B91" w:rsidP="006F1B91">
      <w:pPr>
        <w:spacing w:before="100" w:beforeAutospacing="1" w:after="100" w:afterAutospacing="1" w:line="240" w:lineRule="auto"/>
        <w:rPr>
          <w:rFonts w:eastAsia="Times New Roman" w:cstheme="minorHAnsi"/>
          <w:lang w:eastAsia="fr-FR"/>
        </w:rPr>
      </w:pPr>
      <w:r w:rsidRPr="006F1B91">
        <w:rPr>
          <w:rFonts w:eastAsia="Times New Roman" w:cstheme="minorHAnsi"/>
          <w:lang w:eastAsia="fr-FR"/>
        </w:rPr>
        <w:t xml:space="preserve">Si cette dernière infraction ne pose pas de problème au Conseil constitutionnel, la première, en revanche, lui semble beaucoup trop mal définie. Il s’inquiète notamment de la notion trop vague </w:t>
      </w:r>
      <w:r w:rsidRPr="006F1B91">
        <w:rPr>
          <w:rFonts w:eastAsia="Times New Roman" w:cstheme="minorHAnsi"/>
          <w:i/>
          <w:iCs/>
          <w:lang w:eastAsia="fr-FR"/>
        </w:rPr>
        <w:t>« d’opération »</w:t>
      </w:r>
      <w:r w:rsidRPr="006F1B91">
        <w:rPr>
          <w:rFonts w:eastAsia="Times New Roman" w:cstheme="minorHAnsi"/>
          <w:lang w:eastAsia="fr-FR"/>
        </w:rPr>
        <w:t>.</w:t>
      </w:r>
    </w:p>
    <w:p w14:paraId="62F26D82" w14:textId="77777777" w:rsidR="006F1B91" w:rsidRPr="006F1B91" w:rsidRDefault="006F1B91" w:rsidP="006F1B91">
      <w:pPr>
        <w:spacing w:before="100" w:beforeAutospacing="1" w:after="100" w:afterAutospacing="1" w:line="240" w:lineRule="auto"/>
        <w:rPr>
          <w:rFonts w:eastAsia="Times New Roman" w:cstheme="minorHAnsi"/>
          <w:lang w:eastAsia="fr-FR"/>
        </w:rPr>
      </w:pPr>
      <w:r w:rsidRPr="006F1B91">
        <w:rPr>
          <w:rFonts w:eastAsia="Times New Roman" w:cstheme="minorHAnsi"/>
          <w:lang w:eastAsia="fr-FR"/>
        </w:rPr>
        <w:t>Ainsi, le texte ne permet</w:t>
      </w:r>
      <w:r w:rsidRPr="006F1B91">
        <w:rPr>
          <w:rFonts w:eastAsia="Times New Roman" w:cstheme="minorHAnsi"/>
          <w:i/>
          <w:iCs/>
          <w:lang w:eastAsia="fr-FR"/>
        </w:rPr>
        <w:t xml:space="preserve"> « pas de déterminer si le législateur a entendu réprimer la provocation à l’identification d’un membre des forces de l’ordre uniquement lorsqu’elle est commise au moment où celui-ci est</w:t>
      </w:r>
      <w:r w:rsidRPr="006F1B91">
        <w:rPr>
          <w:rFonts w:eastAsia="Times New Roman" w:cstheme="minorHAnsi"/>
          <w:lang w:eastAsia="fr-FR"/>
        </w:rPr>
        <w:t xml:space="preserve"> </w:t>
      </w:r>
      <w:r w:rsidRPr="006F1B91">
        <w:rPr>
          <w:rFonts w:eastAsia="Times New Roman" w:cstheme="minorHAnsi"/>
          <w:i/>
          <w:iCs/>
          <w:lang w:eastAsia="fr-FR"/>
        </w:rPr>
        <w:t>"en opération" ou s’il a entendu réprimer plus largement la provocation à l’identification d’agents ayant participé à une opération, sans d’ailleurs que soit définie cette notion d’opération »</w:t>
      </w:r>
      <w:r w:rsidRPr="006F1B91">
        <w:rPr>
          <w:rFonts w:eastAsia="Times New Roman" w:cstheme="minorHAnsi"/>
          <w:lang w:eastAsia="fr-FR"/>
        </w:rPr>
        <w:t>, pointe le Conseil constitutionnel.</w:t>
      </w:r>
    </w:p>
    <w:p w14:paraId="09600273" w14:textId="77777777" w:rsidR="006F1B91" w:rsidRPr="006F1B91" w:rsidRDefault="006F1B91" w:rsidP="006F1B91">
      <w:pPr>
        <w:spacing w:before="100" w:beforeAutospacing="1" w:after="100" w:afterAutospacing="1" w:line="240" w:lineRule="auto"/>
        <w:rPr>
          <w:rFonts w:eastAsia="Times New Roman" w:cstheme="minorHAnsi"/>
          <w:lang w:eastAsia="fr-FR"/>
        </w:rPr>
      </w:pPr>
      <w:r w:rsidRPr="006F1B91">
        <w:rPr>
          <w:rFonts w:eastAsia="Times New Roman" w:cstheme="minorHAnsi"/>
          <w:lang w:eastAsia="fr-FR"/>
        </w:rPr>
        <w:t xml:space="preserve">De plus, poursuit la décision, le législateur n’a pas </w:t>
      </w:r>
      <w:r w:rsidRPr="006F1B91">
        <w:rPr>
          <w:rFonts w:eastAsia="Times New Roman" w:cstheme="minorHAnsi"/>
          <w:i/>
          <w:iCs/>
          <w:lang w:eastAsia="fr-FR"/>
        </w:rPr>
        <w:t>« déterminé si "le but manifeste" qu’il soit porté atteinte à l’intégrité physique ou psychique du policier devait être caractérisé indépendamment de la seule provocation à l’identification »</w:t>
      </w:r>
      <w:r w:rsidRPr="006F1B91">
        <w:rPr>
          <w:rFonts w:eastAsia="Times New Roman" w:cstheme="minorHAnsi"/>
          <w:lang w:eastAsia="fr-FR"/>
        </w:rPr>
        <w:t>. Il en résulte</w:t>
      </w:r>
      <w:r w:rsidRPr="006F1B91">
        <w:rPr>
          <w:rFonts w:eastAsia="Times New Roman" w:cstheme="minorHAnsi"/>
          <w:i/>
          <w:iCs/>
          <w:lang w:eastAsia="fr-FR"/>
        </w:rPr>
        <w:t xml:space="preserve"> « une incertitude sur la portée de l'intention exigée de l'auteur du </w:t>
      </w:r>
      <w:proofErr w:type="gramStart"/>
      <w:r w:rsidRPr="006F1B91">
        <w:rPr>
          <w:rFonts w:eastAsia="Times New Roman" w:cstheme="minorHAnsi"/>
          <w:i/>
          <w:iCs/>
          <w:lang w:eastAsia="fr-FR"/>
        </w:rPr>
        <w:t>délit  »</w:t>
      </w:r>
      <w:proofErr w:type="gramEnd"/>
      <w:r w:rsidRPr="006F1B91">
        <w:rPr>
          <w:rFonts w:eastAsia="Times New Roman" w:cstheme="minorHAnsi"/>
          <w:lang w:eastAsia="fr-FR"/>
        </w:rPr>
        <w:t>.</w:t>
      </w:r>
    </w:p>
    <w:p w14:paraId="434AB0AC" w14:textId="77777777" w:rsidR="006F1B91" w:rsidRPr="006F1B91" w:rsidRDefault="006F1B91" w:rsidP="006F1B91">
      <w:pPr>
        <w:spacing w:before="100" w:beforeAutospacing="1" w:after="100" w:afterAutospacing="1" w:line="240" w:lineRule="auto"/>
        <w:rPr>
          <w:rFonts w:eastAsia="Times New Roman" w:cstheme="minorHAnsi"/>
          <w:lang w:eastAsia="fr-FR"/>
        </w:rPr>
      </w:pPr>
      <w:r w:rsidRPr="006F1B91">
        <w:rPr>
          <w:rFonts w:eastAsia="Times New Roman" w:cstheme="minorHAnsi"/>
          <w:lang w:eastAsia="fr-FR"/>
        </w:rPr>
        <w:t xml:space="preserve">Cette infraction, mal définie, méconnait ainsi </w:t>
      </w:r>
      <w:r w:rsidRPr="006F1B91">
        <w:rPr>
          <w:rFonts w:eastAsia="Times New Roman" w:cstheme="minorHAnsi"/>
          <w:i/>
          <w:iCs/>
          <w:lang w:eastAsia="fr-FR"/>
        </w:rPr>
        <w:t xml:space="preserve">« le principe de légalité » </w:t>
      </w:r>
      <w:r w:rsidRPr="006F1B91">
        <w:rPr>
          <w:rFonts w:eastAsia="Times New Roman" w:cstheme="minorHAnsi"/>
          <w:lang w:eastAsia="fr-FR"/>
        </w:rPr>
        <w:t>des peines : elle est censurée par le Conseil constitutionnel. Ne reste donc plus que la seconde infraction, punissant le traitement informatique de base de données personnelles.</w:t>
      </w:r>
    </w:p>
    <w:p w14:paraId="2368877C" w14:textId="77777777" w:rsidR="006F1B91" w:rsidRPr="006F1B91" w:rsidRDefault="006F1B91" w:rsidP="006F1B91">
      <w:pPr>
        <w:spacing w:before="100" w:beforeAutospacing="1" w:after="100" w:afterAutospacing="1" w:line="240" w:lineRule="auto"/>
        <w:rPr>
          <w:rFonts w:eastAsia="Times New Roman" w:cstheme="minorHAnsi"/>
          <w:lang w:eastAsia="fr-FR"/>
        </w:rPr>
      </w:pPr>
      <w:r w:rsidRPr="006F1B91">
        <w:rPr>
          <w:rFonts w:eastAsia="Times New Roman" w:cstheme="minorHAnsi"/>
          <w:i/>
          <w:iCs/>
          <w:lang w:eastAsia="fr-FR"/>
        </w:rPr>
        <w:t>« C’est une très bonne nouvelle pour la capacité des journalistes à couvrir les manifestations »</w:t>
      </w:r>
      <w:r w:rsidRPr="006F1B91">
        <w:rPr>
          <w:rFonts w:eastAsia="Times New Roman" w:cstheme="minorHAnsi"/>
          <w:lang w:eastAsia="fr-FR"/>
        </w:rPr>
        <w:t xml:space="preserve">, a réagi </w:t>
      </w:r>
      <w:hyperlink r:id="rId5" w:tgtFrame="_blank" w:history="1">
        <w:r w:rsidRPr="006F1B91">
          <w:rPr>
            <w:rFonts w:eastAsia="Times New Roman" w:cstheme="minorHAnsi"/>
            <w:color w:val="0000FF"/>
            <w:u w:val="single"/>
            <w:lang w:eastAsia="fr-FR"/>
          </w:rPr>
          <w:t>sur Twitter</w:t>
        </w:r>
      </w:hyperlink>
      <w:r w:rsidRPr="006F1B91">
        <w:rPr>
          <w:rFonts w:eastAsia="Times New Roman" w:cstheme="minorHAnsi"/>
          <w:lang w:eastAsia="fr-FR"/>
        </w:rPr>
        <w:t xml:space="preserve"> le secrétaire général de Reporters sans frontières, Christophe </w:t>
      </w:r>
      <w:proofErr w:type="spellStart"/>
      <w:r w:rsidRPr="006F1B91">
        <w:rPr>
          <w:rFonts w:eastAsia="Times New Roman" w:cstheme="minorHAnsi"/>
          <w:lang w:eastAsia="fr-FR"/>
        </w:rPr>
        <w:t>Deloire</w:t>
      </w:r>
      <w:proofErr w:type="spellEnd"/>
      <w:r w:rsidRPr="006F1B91">
        <w:rPr>
          <w:rFonts w:eastAsia="Times New Roman" w:cstheme="minorHAnsi"/>
          <w:lang w:eastAsia="fr-FR"/>
        </w:rPr>
        <w:t>.</w:t>
      </w:r>
    </w:p>
    <w:p w14:paraId="7C226115" w14:textId="5F0CCD03" w:rsidR="006F1B91" w:rsidRPr="006F1B91" w:rsidRDefault="006F1B91" w:rsidP="006F1B91">
      <w:pPr>
        <w:spacing w:after="0" w:line="240" w:lineRule="auto"/>
        <w:rPr>
          <w:rFonts w:eastAsia="Times New Roman" w:cstheme="minorHAnsi"/>
          <w:lang w:eastAsia="fr-FR"/>
        </w:rPr>
      </w:pPr>
      <w:r w:rsidRPr="006F1B91">
        <w:rPr>
          <w:rFonts w:eastAsia="Times New Roman" w:cstheme="minorHAnsi"/>
          <w:lang w:eastAsia="fr-FR"/>
        </w:rPr>
        <w:t xml:space="preserve">Le Conseil constitutionnel a également censuré l’article 47 qui prétendait légaliser et encadrer l’usage de la vidéosurveillance par drones. Les « Sages » prennent tout d’abord soin de préciser que leur opposition n’est pas de principe et que les drones pourraient être autorisés par le législateur à des fins </w:t>
      </w:r>
      <w:r w:rsidRPr="006F1B91">
        <w:rPr>
          <w:rFonts w:eastAsia="Times New Roman" w:cstheme="minorHAnsi"/>
          <w:i/>
          <w:iCs/>
          <w:lang w:eastAsia="fr-FR"/>
        </w:rPr>
        <w:t>« de prévention des atteintes à l’ordre public et de recherche des auteurs d’infractions »</w:t>
      </w:r>
      <w:r w:rsidRPr="006F1B91">
        <w:rPr>
          <w:rFonts w:eastAsia="Times New Roman" w:cstheme="minorHAnsi"/>
          <w:lang w:eastAsia="fr-FR"/>
        </w:rPr>
        <w:t xml:space="preserve">. </w:t>
      </w:r>
    </w:p>
    <w:p w14:paraId="4DF355F1" w14:textId="77777777" w:rsidR="006F1B91" w:rsidRPr="006F1B91" w:rsidRDefault="006F1B91" w:rsidP="006F1B91">
      <w:pPr>
        <w:spacing w:before="100" w:beforeAutospacing="1" w:after="100" w:afterAutospacing="1" w:line="240" w:lineRule="auto"/>
        <w:rPr>
          <w:rFonts w:eastAsia="Times New Roman" w:cstheme="minorHAnsi"/>
          <w:lang w:eastAsia="fr-FR"/>
        </w:rPr>
      </w:pPr>
      <w:r w:rsidRPr="006F1B91">
        <w:rPr>
          <w:rFonts w:eastAsia="Times New Roman" w:cstheme="minorHAnsi"/>
          <w:i/>
          <w:iCs/>
          <w:lang w:eastAsia="fr-FR"/>
        </w:rPr>
        <w:t>« Toutefois</w:t>
      </w:r>
      <w:r w:rsidRPr="006F1B91">
        <w:rPr>
          <w:rFonts w:eastAsia="Times New Roman" w:cstheme="minorHAnsi"/>
          <w:lang w:eastAsia="fr-FR"/>
        </w:rPr>
        <w:t xml:space="preserve">, poursuivent-t-ils, </w:t>
      </w:r>
      <w:r w:rsidRPr="006F1B91">
        <w:rPr>
          <w:rFonts w:eastAsia="Times New Roman" w:cstheme="minorHAnsi"/>
          <w:i/>
          <w:iCs/>
          <w:lang w:eastAsia="fr-FR"/>
        </w:rPr>
        <w:t>eu égard à leur mobilité et à la hauteur à laquelle ils peuvent évoluer, ces appareils sont susceptibles de capter, en tout lieu et sans que leur présence soit détectée, des images d’un nombre très important de personnes et de suivre leurs déplacements dans un vaste périmètre »</w:t>
      </w:r>
      <w:r w:rsidRPr="006F1B91">
        <w:rPr>
          <w:rFonts w:eastAsia="Times New Roman" w:cstheme="minorHAnsi"/>
          <w:lang w:eastAsia="fr-FR"/>
        </w:rPr>
        <w:t>.</w:t>
      </w:r>
    </w:p>
    <w:p w14:paraId="0B34ED60" w14:textId="77777777" w:rsidR="006F1B91" w:rsidRPr="006F1B91" w:rsidRDefault="006F1B91" w:rsidP="006F1B91">
      <w:pPr>
        <w:spacing w:before="100" w:beforeAutospacing="1" w:after="100" w:afterAutospacing="1" w:line="240" w:lineRule="auto"/>
        <w:rPr>
          <w:rFonts w:eastAsia="Times New Roman" w:cstheme="minorHAnsi"/>
          <w:lang w:eastAsia="fr-FR"/>
        </w:rPr>
      </w:pPr>
      <w:r w:rsidRPr="006F1B91">
        <w:rPr>
          <w:rFonts w:eastAsia="Times New Roman" w:cstheme="minorHAnsi"/>
          <w:lang w:eastAsia="fr-FR"/>
        </w:rPr>
        <w:lastRenderedPageBreak/>
        <w:t xml:space="preserve">De telles capacités de surveillance doivent être accompagnées </w:t>
      </w:r>
      <w:r w:rsidRPr="006F1B91">
        <w:rPr>
          <w:rFonts w:eastAsia="Times New Roman" w:cstheme="minorHAnsi"/>
          <w:i/>
          <w:iCs/>
          <w:lang w:eastAsia="fr-FR"/>
        </w:rPr>
        <w:t>« de garanties particulières de nature à sauvegarder le droit au respect de la vie privée »</w:t>
      </w:r>
      <w:r w:rsidRPr="006F1B91">
        <w:rPr>
          <w:rFonts w:eastAsia="Times New Roman" w:cstheme="minorHAnsi"/>
          <w:lang w:eastAsia="fr-FR"/>
        </w:rPr>
        <w:t>, et absentes de cette loi.</w:t>
      </w:r>
    </w:p>
    <w:p w14:paraId="088321CB" w14:textId="77777777" w:rsidR="006F1B91" w:rsidRPr="006F1B91" w:rsidRDefault="006F1B91" w:rsidP="006F1B91">
      <w:pPr>
        <w:spacing w:before="100" w:beforeAutospacing="1" w:after="100" w:afterAutospacing="1" w:line="240" w:lineRule="auto"/>
        <w:rPr>
          <w:rFonts w:eastAsia="Times New Roman" w:cstheme="minorHAnsi"/>
          <w:lang w:eastAsia="fr-FR"/>
        </w:rPr>
      </w:pPr>
      <w:r w:rsidRPr="006F1B91">
        <w:rPr>
          <w:rFonts w:eastAsia="Times New Roman" w:cstheme="minorHAnsi"/>
          <w:lang w:eastAsia="fr-FR"/>
        </w:rPr>
        <w:t>Le Conseil souligne le caractère particulièrement large du champ d’application potentiel des drones. Ils peuvent ainsi être utilisés pour constater</w:t>
      </w:r>
      <w:r w:rsidRPr="006F1B91">
        <w:rPr>
          <w:rFonts w:eastAsia="Times New Roman" w:cstheme="minorHAnsi"/>
          <w:i/>
          <w:iCs/>
          <w:lang w:eastAsia="fr-FR"/>
        </w:rPr>
        <w:t xml:space="preserve"> « toute infraction, y compris pour une contravention »</w:t>
      </w:r>
      <w:r w:rsidRPr="006F1B91">
        <w:rPr>
          <w:rFonts w:eastAsia="Times New Roman" w:cstheme="minorHAnsi"/>
          <w:lang w:eastAsia="fr-FR"/>
        </w:rPr>
        <w:t xml:space="preserve">, pour prévenir des infractions terroristes en surveillant certains bâtiments, pour surveiller des rassemblements, des manifestations, les frontières… Ils peuvent en outre être utilisés par le policiers municipaux </w:t>
      </w:r>
      <w:r w:rsidRPr="006F1B91">
        <w:rPr>
          <w:rFonts w:eastAsia="Times New Roman" w:cstheme="minorHAnsi"/>
          <w:i/>
          <w:iCs/>
          <w:lang w:eastAsia="fr-FR"/>
        </w:rPr>
        <w:t>« aux fins d’assurer l’exécution de tout arrêté de police du maire, quelle que soit la nature de l’obligation ou de l’interdiction qu’il édicte, et de constater les contraventions à ces arrêtés »</w:t>
      </w:r>
      <w:r w:rsidRPr="006F1B91">
        <w:rPr>
          <w:rFonts w:eastAsia="Times New Roman" w:cstheme="minorHAnsi"/>
          <w:lang w:eastAsia="fr-FR"/>
        </w:rPr>
        <w:t>.</w:t>
      </w:r>
    </w:p>
    <w:p w14:paraId="29B418C7" w14:textId="77777777" w:rsidR="006F1B91" w:rsidRPr="006F1B91" w:rsidRDefault="006F1B91" w:rsidP="006F1B91">
      <w:pPr>
        <w:spacing w:before="100" w:beforeAutospacing="1" w:after="100" w:afterAutospacing="1" w:line="240" w:lineRule="auto"/>
        <w:rPr>
          <w:rFonts w:eastAsia="Times New Roman" w:cstheme="minorHAnsi"/>
          <w:lang w:eastAsia="fr-FR"/>
        </w:rPr>
      </w:pPr>
      <w:r w:rsidRPr="006F1B91">
        <w:rPr>
          <w:rFonts w:eastAsia="Times New Roman" w:cstheme="minorHAnsi"/>
          <w:lang w:eastAsia="fr-FR"/>
        </w:rPr>
        <w:t>Face à ces capacités de surveillance considérables, la loi ne prévoit que peu de limites. Ainsi, elle ne fixe</w:t>
      </w:r>
      <w:r w:rsidRPr="006F1B91">
        <w:rPr>
          <w:rFonts w:eastAsia="Times New Roman" w:cstheme="minorHAnsi"/>
          <w:i/>
          <w:iCs/>
          <w:lang w:eastAsia="fr-FR"/>
        </w:rPr>
        <w:t xml:space="preserve"> « aucune limite maximale à la durée de l’autorisation de recourir à un tel moyen de surveillance, exceptée la durée de six mois lorsque cette autorisation est délivrée à la police municipale, ni aucune limite au périmètre dans lequel la surveillance peut être mise en œuvre »</w:t>
      </w:r>
      <w:r w:rsidRPr="006F1B91">
        <w:rPr>
          <w:rFonts w:eastAsia="Times New Roman" w:cstheme="minorHAnsi"/>
          <w:lang w:eastAsia="fr-FR"/>
        </w:rPr>
        <w:t xml:space="preserve">. De plus, il </w:t>
      </w:r>
      <w:r w:rsidRPr="006F1B91">
        <w:rPr>
          <w:rFonts w:eastAsia="Times New Roman" w:cstheme="minorHAnsi"/>
          <w:i/>
          <w:iCs/>
          <w:lang w:eastAsia="fr-FR"/>
        </w:rPr>
        <w:t>« n’a pas été fixé le principe d’un contingentement du nombre d’aéronefs circulant sans personne à bord équipés d’une caméra pouvant être utilisés, le cas échéant simultanément, par les différents services de l’État et ceux de la police municipale »</w:t>
      </w:r>
      <w:r w:rsidRPr="006F1B91">
        <w:rPr>
          <w:rFonts w:eastAsia="Times New Roman" w:cstheme="minorHAnsi"/>
          <w:lang w:eastAsia="fr-FR"/>
        </w:rPr>
        <w:t>.</w:t>
      </w:r>
    </w:p>
    <w:p w14:paraId="7D274E53" w14:textId="77777777" w:rsidR="006F1B91" w:rsidRPr="006F1B91" w:rsidRDefault="006F1B91" w:rsidP="006F1B91">
      <w:pPr>
        <w:spacing w:before="100" w:beforeAutospacing="1" w:after="100" w:afterAutospacing="1" w:line="240" w:lineRule="auto"/>
        <w:rPr>
          <w:rFonts w:eastAsia="Times New Roman" w:cstheme="minorHAnsi"/>
          <w:lang w:eastAsia="fr-FR"/>
        </w:rPr>
      </w:pPr>
      <w:r w:rsidRPr="006F1B91">
        <w:rPr>
          <w:rFonts w:eastAsia="Times New Roman" w:cstheme="minorHAnsi"/>
          <w:lang w:eastAsia="fr-FR"/>
        </w:rPr>
        <w:t xml:space="preserve">En conséquence, le Conseil constitutionnel estime que </w:t>
      </w:r>
      <w:r w:rsidRPr="006F1B91">
        <w:rPr>
          <w:rFonts w:eastAsia="Times New Roman" w:cstheme="minorHAnsi"/>
          <w:i/>
          <w:iCs/>
          <w:lang w:eastAsia="fr-FR"/>
        </w:rPr>
        <w:t>« le législateur n’a pas assuré une conciliation équilibrée entre les objectifs de valeur constitutionnelle de prévention des atteintes à l’ordre public et de recherche des auteurs d’infractions et le droit au respect de la vie privée »</w:t>
      </w:r>
      <w:r w:rsidRPr="006F1B91">
        <w:rPr>
          <w:rFonts w:eastAsia="Times New Roman" w:cstheme="minorHAnsi"/>
          <w:lang w:eastAsia="fr-FR"/>
        </w:rPr>
        <w:t>.</w:t>
      </w:r>
    </w:p>
    <w:p w14:paraId="67F4C3A8" w14:textId="77777777" w:rsidR="006F1B91" w:rsidRPr="006F1B91" w:rsidRDefault="006F1B91" w:rsidP="006F1B91">
      <w:pPr>
        <w:spacing w:before="100" w:beforeAutospacing="1" w:after="100" w:afterAutospacing="1" w:line="240" w:lineRule="auto"/>
        <w:rPr>
          <w:rFonts w:eastAsia="Times New Roman" w:cstheme="minorHAnsi"/>
          <w:lang w:eastAsia="fr-FR"/>
        </w:rPr>
      </w:pPr>
      <w:r w:rsidRPr="006F1B91">
        <w:rPr>
          <w:rFonts w:eastAsia="Times New Roman" w:cstheme="minorHAnsi"/>
          <w:lang w:eastAsia="fr-FR"/>
        </w:rPr>
        <w:t>De même, la décision censure l’article 48 qui autorisait, lui, la vidéosurveillance réalisée par des caméras embarquées dans des véhicules, voitures ou hélicoptères par exemple. Comme pour les drones, le Conseil constitutionnel souligne la disproportion entre les pouvoirs dont auraient disposé les forces de l’ordre et les garanties accordées aux citoyens.</w:t>
      </w:r>
    </w:p>
    <w:p w14:paraId="3402E776" w14:textId="77777777" w:rsidR="006F1B91" w:rsidRPr="006F1B91" w:rsidRDefault="006F1B91" w:rsidP="006F1B91">
      <w:pPr>
        <w:spacing w:before="100" w:beforeAutospacing="1" w:after="100" w:afterAutospacing="1" w:line="240" w:lineRule="auto"/>
        <w:rPr>
          <w:rFonts w:eastAsia="Times New Roman" w:cstheme="minorHAnsi"/>
          <w:lang w:eastAsia="fr-FR"/>
        </w:rPr>
      </w:pPr>
      <w:r w:rsidRPr="006F1B91">
        <w:rPr>
          <w:rFonts w:eastAsia="Times New Roman" w:cstheme="minorHAnsi"/>
          <w:lang w:eastAsia="fr-FR"/>
        </w:rPr>
        <w:t xml:space="preserve">Ces caméras, pointe-t-il, </w:t>
      </w:r>
      <w:r w:rsidRPr="006F1B91">
        <w:rPr>
          <w:rFonts w:eastAsia="Times New Roman" w:cstheme="minorHAnsi"/>
          <w:i/>
          <w:iCs/>
          <w:lang w:eastAsia="fr-FR"/>
        </w:rPr>
        <w:t>« peuvent capter, enregistrer et transmettre des images au sein de ces véhicules, sur la voie publique ou dans des lieux ouverts au public, y compris, le cas échéant, de l’intérieur des immeubles ainsi que de leurs entrées »</w:t>
      </w:r>
      <w:r w:rsidRPr="006F1B91">
        <w:rPr>
          <w:rFonts w:eastAsia="Times New Roman" w:cstheme="minorHAnsi"/>
          <w:lang w:eastAsia="fr-FR"/>
        </w:rPr>
        <w:t>.</w:t>
      </w:r>
    </w:p>
    <w:p w14:paraId="6E767521" w14:textId="77777777" w:rsidR="006F1B91" w:rsidRPr="006F1B91" w:rsidRDefault="006F1B91" w:rsidP="006F1B91">
      <w:pPr>
        <w:spacing w:before="100" w:beforeAutospacing="1" w:after="100" w:afterAutospacing="1" w:line="240" w:lineRule="auto"/>
        <w:rPr>
          <w:rFonts w:eastAsia="Times New Roman" w:cstheme="minorHAnsi"/>
          <w:lang w:eastAsia="fr-FR"/>
        </w:rPr>
      </w:pPr>
      <w:r w:rsidRPr="006F1B91">
        <w:rPr>
          <w:rFonts w:eastAsia="Times New Roman" w:cstheme="minorHAnsi"/>
          <w:lang w:eastAsia="fr-FR"/>
        </w:rPr>
        <w:t xml:space="preserve">Le public, de son côté, ne serait que très rarement informé de leur présence. En effet, si l’information des personnes filmées est censée être la règle, l’article permettait de s’en dispenser lorsque </w:t>
      </w:r>
      <w:r w:rsidRPr="006F1B91">
        <w:rPr>
          <w:rFonts w:eastAsia="Times New Roman" w:cstheme="minorHAnsi"/>
          <w:i/>
          <w:iCs/>
          <w:lang w:eastAsia="fr-FR"/>
        </w:rPr>
        <w:t>« les circonstances l’interdisent »</w:t>
      </w:r>
      <w:r w:rsidRPr="006F1B91">
        <w:rPr>
          <w:rFonts w:eastAsia="Times New Roman" w:cstheme="minorHAnsi"/>
          <w:lang w:eastAsia="fr-FR"/>
        </w:rPr>
        <w:t xml:space="preserve"> ou lorsqu’elle </w:t>
      </w:r>
      <w:r w:rsidRPr="006F1B91">
        <w:rPr>
          <w:rFonts w:eastAsia="Times New Roman" w:cstheme="minorHAnsi"/>
          <w:i/>
          <w:iCs/>
          <w:lang w:eastAsia="fr-FR"/>
        </w:rPr>
        <w:t>« entrerait en contradiction avec les objectifs poursuivis »</w:t>
      </w:r>
      <w:r w:rsidRPr="006F1B91">
        <w:rPr>
          <w:rFonts w:eastAsia="Times New Roman" w:cstheme="minorHAnsi"/>
          <w:lang w:eastAsia="fr-FR"/>
        </w:rPr>
        <w:t>.</w:t>
      </w:r>
    </w:p>
    <w:p w14:paraId="517855F8" w14:textId="77777777" w:rsidR="006F1B91" w:rsidRPr="006F1B91" w:rsidRDefault="006F1B91" w:rsidP="006F1B91">
      <w:pPr>
        <w:spacing w:before="100" w:beforeAutospacing="1" w:after="100" w:afterAutospacing="1" w:line="240" w:lineRule="auto"/>
        <w:rPr>
          <w:rFonts w:eastAsia="Times New Roman" w:cstheme="minorHAnsi"/>
          <w:lang w:eastAsia="fr-FR"/>
        </w:rPr>
      </w:pPr>
      <w:r w:rsidRPr="006F1B91">
        <w:rPr>
          <w:rFonts w:eastAsia="Times New Roman" w:cstheme="minorHAnsi"/>
          <w:lang w:eastAsia="fr-FR"/>
        </w:rPr>
        <w:t xml:space="preserve">Enfin, la loi n’avait </w:t>
      </w:r>
      <w:r w:rsidRPr="006F1B91">
        <w:rPr>
          <w:rFonts w:eastAsia="Times New Roman" w:cstheme="minorHAnsi"/>
          <w:i/>
          <w:iCs/>
          <w:lang w:eastAsia="fr-FR"/>
        </w:rPr>
        <w:t>« fixé aucune limite maximale à cette durée, ni aucune borne au périmètre dans lequel cette surveillance peut avoir lieu »</w:t>
      </w:r>
      <w:r w:rsidRPr="006F1B91">
        <w:rPr>
          <w:rFonts w:eastAsia="Times New Roman" w:cstheme="minorHAnsi"/>
          <w:lang w:eastAsia="fr-FR"/>
        </w:rPr>
        <w:t xml:space="preserve">. Les policiers auraient été les seuls à décider de l’usage de ces caméras, celui-ci n’étant soumis </w:t>
      </w:r>
      <w:r w:rsidRPr="006F1B91">
        <w:rPr>
          <w:rFonts w:eastAsia="Times New Roman" w:cstheme="minorHAnsi"/>
          <w:i/>
          <w:iCs/>
          <w:lang w:eastAsia="fr-FR"/>
        </w:rPr>
        <w:t>« à aucune autorisation, ni même à l’information d’une autre autorité »</w:t>
      </w:r>
      <w:r w:rsidRPr="006F1B91">
        <w:rPr>
          <w:rFonts w:eastAsia="Times New Roman" w:cstheme="minorHAnsi"/>
          <w:lang w:eastAsia="fr-FR"/>
        </w:rPr>
        <w:t>.</w:t>
      </w:r>
    </w:p>
    <w:p w14:paraId="1086E2FD" w14:textId="77777777" w:rsidR="006F1B91" w:rsidRPr="006F1B91" w:rsidRDefault="006F1B91" w:rsidP="006F1B91">
      <w:pPr>
        <w:spacing w:before="100" w:beforeAutospacing="1" w:after="100" w:afterAutospacing="1" w:line="240" w:lineRule="auto"/>
        <w:rPr>
          <w:rFonts w:eastAsia="Times New Roman" w:cstheme="minorHAnsi"/>
          <w:lang w:eastAsia="fr-FR"/>
        </w:rPr>
      </w:pPr>
      <w:r w:rsidRPr="006F1B91">
        <w:rPr>
          <w:rFonts w:eastAsia="Times New Roman" w:cstheme="minorHAnsi"/>
          <w:lang w:eastAsia="fr-FR"/>
        </w:rPr>
        <w:t>Autre camouflet pour le gouvernement : le Conseil constitutionnel a intégralement censuré l’article 1</w:t>
      </w:r>
      <w:r w:rsidRPr="006F1B91">
        <w:rPr>
          <w:rFonts w:eastAsia="Times New Roman" w:cstheme="minorHAnsi"/>
          <w:vertAlign w:val="superscript"/>
          <w:lang w:eastAsia="fr-FR"/>
        </w:rPr>
        <w:t>er</w:t>
      </w:r>
      <w:r w:rsidRPr="006F1B91">
        <w:rPr>
          <w:rFonts w:eastAsia="Times New Roman" w:cstheme="minorHAnsi"/>
          <w:lang w:eastAsia="fr-FR"/>
        </w:rPr>
        <w:t xml:space="preserve"> de la loi qui contenait l’une des mesures au cœur du dispositif de</w:t>
      </w:r>
      <w:r w:rsidRPr="006F1B91">
        <w:rPr>
          <w:rFonts w:eastAsia="Times New Roman" w:cstheme="minorHAnsi"/>
          <w:i/>
          <w:iCs/>
          <w:lang w:eastAsia="fr-FR"/>
        </w:rPr>
        <w:t xml:space="preserve"> « continuum de sécurité »</w:t>
      </w:r>
      <w:r w:rsidRPr="006F1B91">
        <w:rPr>
          <w:rFonts w:eastAsia="Times New Roman" w:cstheme="minorHAnsi"/>
          <w:lang w:eastAsia="fr-FR"/>
        </w:rPr>
        <w:t xml:space="preserve"> que prévoit d’instaurer </w:t>
      </w:r>
      <w:proofErr w:type="gramStart"/>
      <w:r w:rsidRPr="006F1B91">
        <w:rPr>
          <w:rFonts w:eastAsia="Times New Roman" w:cstheme="minorHAnsi"/>
          <w:lang w:eastAsia="fr-FR"/>
        </w:rPr>
        <w:t>cet</w:t>
      </w:r>
      <w:proofErr w:type="gramEnd"/>
      <w:r w:rsidRPr="006F1B91">
        <w:rPr>
          <w:rFonts w:eastAsia="Times New Roman" w:cstheme="minorHAnsi"/>
          <w:lang w:eastAsia="fr-FR"/>
        </w:rPr>
        <w:t xml:space="preserve"> texte. Il devait permettre aux polices municipales de plus de quinze agents, ainsi qu’aux gardes champêtres, de disposer de certains pouvoirs de police judiciaire.</w:t>
      </w:r>
    </w:p>
    <w:p w14:paraId="21BEB9DC" w14:textId="77777777" w:rsidR="006F1B91" w:rsidRPr="006F1B91" w:rsidRDefault="006F1B91" w:rsidP="006F1B91">
      <w:pPr>
        <w:spacing w:before="100" w:beforeAutospacing="1" w:after="100" w:afterAutospacing="1" w:line="240" w:lineRule="auto"/>
        <w:rPr>
          <w:rFonts w:eastAsia="Times New Roman" w:cstheme="minorHAnsi"/>
          <w:lang w:eastAsia="fr-FR"/>
        </w:rPr>
      </w:pPr>
      <w:r w:rsidRPr="006F1B91">
        <w:rPr>
          <w:rFonts w:eastAsia="Times New Roman" w:cstheme="minorHAnsi"/>
          <w:lang w:eastAsia="fr-FR"/>
        </w:rPr>
        <w:t>Ceux-ci auraient notamment pu directement constater certaines infractions ne nécessitant pas d’enquêtes comme l’usage de stupéfiants, l’occupation de halls d’immeuble, la conduite sans permis ou sans assurance, les dégradations…</w:t>
      </w:r>
    </w:p>
    <w:p w14:paraId="2CECFE5F" w14:textId="77777777" w:rsidR="006F1B91" w:rsidRPr="006F1B91" w:rsidRDefault="006F1B91" w:rsidP="006F1B91">
      <w:pPr>
        <w:spacing w:before="100" w:beforeAutospacing="1" w:after="100" w:afterAutospacing="1" w:line="240" w:lineRule="auto"/>
        <w:rPr>
          <w:rFonts w:eastAsia="Times New Roman" w:cstheme="minorHAnsi"/>
          <w:lang w:eastAsia="fr-FR"/>
        </w:rPr>
      </w:pPr>
      <w:r w:rsidRPr="006F1B91">
        <w:rPr>
          <w:rFonts w:eastAsia="Times New Roman" w:cstheme="minorHAnsi"/>
          <w:lang w:eastAsia="fr-FR"/>
        </w:rPr>
        <w:t>Or, comme le rappelle le Conseil constitutionnel, l’article 66 de la Constitution affirme</w:t>
      </w:r>
      <w:r w:rsidRPr="006F1B91">
        <w:rPr>
          <w:rFonts w:eastAsia="Times New Roman" w:cstheme="minorHAnsi"/>
          <w:i/>
          <w:iCs/>
          <w:lang w:eastAsia="fr-FR"/>
        </w:rPr>
        <w:t xml:space="preserve"> « que la police judiciaire doit être placée sous la direction et le contrôle de l’autorité judiciaire »</w:t>
      </w:r>
      <w:r w:rsidRPr="006F1B91">
        <w:rPr>
          <w:rFonts w:eastAsia="Times New Roman" w:cstheme="minorHAnsi"/>
          <w:lang w:eastAsia="fr-FR"/>
        </w:rPr>
        <w:t>, ce qui n’est pas le cas des policiers municipaux ni des gardes champêtres qui obéissent à leur maire.</w:t>
      </w:r>
    </w:p>
    <w:p w14:paraId="1AE74700" w14:textId="77777777" w:rsidR="006F1B91" w:rsidRPr="006F1B91" w:rsidRDefault="006F1B91" w:rsidP="006F1B91">
      <w:pPr>
        <w:spacing w:before="100" w:beforeAutospacing="1" w:after="100" w:afterAutospacing="1" w:line="240" w:lineRule="auto"/>
        <w:rPr>
          <w:rFonts w:eastAsia="Times New Roman" w:cstheme="minorHAnsi"/>
          <w:lang w:eastAsia="fr-FR"/>
        </w:rPr>
      </w:pPr>
      <w:r w:rsidRPr="006F1B91">
        <w:rPr>
          <w:rFonts w:eastAsia="Times New Roman" w:cstheme="minorHAnsi"/>
          <w:lang w:eastAsia="fr-FR"/>
        </w:rPr>
        <w:t xml:space="preserve">En conséquence, en confiant des pouvoirs aussi étendus aux agents de police municipale et aux gardes champêtres, </w:t>
      </w:r>
      <w:r w:rsidRPr="006F1B91">
        <w:rPr>
          <w:rFonts w:eastAsia="Times New Roman" w:cstheme="minorHAnsi"/>
          <w:i/>
          <w:iCs/>
          <w:lang w:eastAsia="fr-FR"/>
        </w:rPr>
        <w:t>« sans les mettre à disposition d’officiers de police judiciaire ou de personnes présentant des garanties équivalentes, le législateur a méconnu l’article 66 de la Constitution ».</w:t>
      </w:r>
    </w:p>
    <w:p w14:paraId="359B7F3A" w14:textId="77777777" w:rsidR="006F1B91" w:rsidRPr="006F1B91" w:rsidRDefault="006F1B91" w:rsidP="006F1B91">
      <w:pPr>
        <w:spacing w:before="100" w:beforeAutospacing="1" w:after="100" w:afterAutospacing="1" w:line="240" w:lineRule="auto"/>
        <w:rPr>
          <w:rFonts w:eastAsia="Times New Roman" w:cstheme="minorHAnsi"/>
          <w:lang w:eastAsia="fr-FR"/>
        </w:rPr>
      </w:pPr>
      <w:r w:rsidRPr="006F1B91">
        <w:rPr>
          <w:rFonts w:eastAsia="Times New Roman" w:cstheme="minorHAnsi"/>
          <w:lang w:eastAsia="fr-FR"/>
        </w:rPr>
        <w:lastRenderedPageBreak/>
        <w:t>Également censuré, l’article 41 prévoyait d’autoriser</w:t>
      </w:r>
      <w:r w:rsidRPr="006F1B91">
        <w:rPr>
          <w:rFonts w:eastAsia="Times New Roman" w:cstheme="minorHAnsi"/>
          <w:i/>
          <w:iCs/>
          <w:lang w:eastAsia="fr-FR"/>
        </w:rPr>
        <w:t xml:space="preserve"> « le placement sous vidéosurveillance des personnes retenues dans les chambres d’isolement des centres de rétention administrative [où sont enfermés les étrangers sans papiers en vue de leur expulsion —ndlr] et de celles en garde à vue »</w:t>
      </w:r>
      <w:r w:rsidRPr="006F1B91">
        <w:rPr>
          <w:rFonts w:eastAsia="Times New Roman" w:cstheme="minorHAnsi"/>
          <w:lang w:eastAsia="fr-FR"/>
        </w:rPr>
        <w:t xml:space="preserve">. Le Conseil constitutionnel a jugé disproportionnés les pouvoirs confiés au </w:t>
      </w:r>
      <w:r w:rsidRPr="006F1B91">
        <w:rPr>
          <w:rFonts w:eastAsia="Times New Roman" w:cstheme="minorHAnsi"/>
          <w:i/>
          <w:iCs/>
          <w:lang w:eastAsia="fr-FR"/>
        </w:rPr>
        <w:t xml:space="preserve">« chef du service responsable de la sécurité des lieux » </w:t>
      </w:r>
      <w:r w:rsidRPr="006F1B91">
        <w:rPr>
          <w:rFonts w:eastAsia="Times New Roman" w:cstheme="minorHAnsi"/>
          <w:lang w:eastAsia="fr-FR"/>
        </w:rPr>
        <w:t>qui aurait pu décider, seul, de la mise sous vidéosurveillance ainsi que de son renouvellement.</w:t>
      </w:r>
    </w:p>
    <w:p w14:paraId="296C9EB3" w14:textId="77777777" w:rsidR="006F1B91" w:rsidRPr="006F1B91" w:rsidRDefault="006F1B91" w:rsidP="006F1B91">
      <w:pPr>
        <w:spacing w:before="100" w:beforeAutospacing="1" w:after="100" w:afterAutospacing="1" w:line="240" w:lineRule="auto"/>
        <w:rPr>
          <w:rFonts w:eastAsia="Times New Roman" w:cstheme="minorHAnsi"/>
          <w:lang w:eastAsia="fr-FR"/>
        </w:rPr>
      </w:pPr>
      <w:r w:rsidRPr="006F1B91">
        <w:rPr>
          <w:rFonts w:eastAsia="Times New Roman" w:cstheme="minorHAnsi"/>
          <w:lang w:eastAsia="fr-FR"/>
        </w:rPr>
        <w:t xml:space="preserve">Les « Sages » ont aussi donné </w:t>
      </w:r>
      <w:hyperlink r:id="rId6" w:tgtFrame="_blank" w:history="1">
        <w:r w:rsidRPr="006F1B91">
          <w:rPr>
            <w:rFonts w:eastAsia="Times New Roman" w:cstheme="minorHAnsi"/>
            <w:color w:val="0000FF"/>
            <w:u w:val="single"/>
            <w:lang w:eastAsia="fr-FR"/>
          </w:rPr>
          <w:t>gain de cause aux associations et syndicats de défense du droit au logement</w:t>
        </w:r>
      </w:hyperlink>
      <w:r w:rsidRPr="006F1B91">
        <w:rPr>
          <w:rFonts w:eastAsia="Times New Roman" w:cstheme="minorHAnsi"/>
          <w:lang w:eastAsia="fr-FR"/>
        </w:rPr>
        <w:t xml:space="preserve"> en censurant l’article 2 qui durcissait la répression contre les squats et les occupations. Il prévoyait de faire passer d’un an d’emprisonnement et 15 000 euros d’amende à trois ans d’emprisonnement et 45 000 euros d’amende l’introduction et le </w:t>
      </w:r>
      <w:proofErr w:type="spellStart"/>
      <w:r w:rsidRPr="006F1B91">
        <w:rPr>
          <w:rFonts w:eastAsia="Times New Roman" w:cstheme="minorHAnsi"/>
          <w:lang w:eastAsia="fr-FR"/>
        </w:rPr>
        <w:t>maintient</w:t>
      </w:r>
      <w:proofErr w:type="spellEnd"/>
      <w:r w:rsidRPr="006F1B91">
        <w:rPr>
          <w:rFonts w:eastAsia="Times New Roman" w:cstheme="minorHAnsi"/>
          <w:lang w:eastAsia="fr-FR"/>
        </w:rPr>
        <w:t xml:space="preserve"> illicite dans un logement.</w:t>
      </w:r>
    </w:p>
    <w:p w14:paraId="47110F92" w14:textId="77777777" w:rsidR="006F1B91" w:rsidRPr="006F1B91" w:rsidRDefault="006F1B91" w:rsidP="006F1B91">
      <w:pPr>
        <w:spacing w:before="100" w:beforeAutospacing="1" w:after="100" w:afterAutospacing="1" w:line="240" w:lineRule="auto"/>
        <w:rPr>
          <w:rFonts w:eastAsia="Times New Roman" w:cstheme="minorHAnsi"/>
          <w:lang w:eastAsia="fr-FR"/>
        </w:rPr>
      </w:pPr>
      <w:r w:rsidRPr="006F1B91">
        <w:rPr>
          <w:rFonts w:eastAsia="Times New Roman" w:cstheme="minorHAnsi"/>
          <w:lang w:eastAsia="fr-FR"/>
        </w:rPr>
        <w:t xml:space="preserve">Cette disposition n’avait été introduite qu’après le début de l’examen du texte, </w:t>
      </w:r>
      <w:r w:rsidRPr="006F1B91">
        <w:rPr>
          <w:rFonts w:eastAsia="Times New Roman" w:cstheme="minorHAnsi"/>
          <w:i/>
          <w:iCs/>
          <w:lang w:eastAsia="fr-FR"/>
        </w:rPr>
        <w:t>via</w:t>
      </w:r>
      <w:r w:rsidRPr="006F1B91">
        <w:rPr>
          <w:rFonts w:eastAsia="Times New Roman" w:cstheme="minorHAnsi"/>
          <w:lang w:eastAsia="fr-FR"/>
        </w:rPr>
        <w:t xml:space="preserve"> un amendement. Et, comme le rappelle le Conseil, l’article 45 de la Constitution dispose que les amendements déposés en première lecture ne sont recevables que s’il </w:t>
      </w:r>
      <w:r w:rsidRPr="006F1B91">
        <w:rPr>
          <w:rFonts w:eastAsia="Times New Roman" w:cstheme="minorHAnsi"/>
          <w:i/>
          <w:iCs/>
          <w:lang w:eastAsia="fr-FR"/>
        </w:rPr>
        <w:t>« présente un lien, même indirect, avec le texte déposé ou transmis »</w:t>
      </w:r>
      <w:r w:rsidRPr="006F1B91">
        <w:rPr>
          <w:rFonts w:eastAsia="Times New Roman" w:cstheme="minorHAnsi"/>
          <w:lang w:eastAsia="fr-FR"/>
        </w:rPr>
        <w:t>.</w:t>
      </w:r>
    </w:p>
    <w:p w14:paraId="748F2602" w14:textId="77777777" w:rsidR="006F1B91" w:rsidRPr="006F1B91" w:rsidRDefault="006F1B91" w:rsidP="006F1B91">
      <w:pPr>
        <w:spacing w:before="100" w:beforeAutospacing="1" w:after="100" w:afterAutospacing="1" w:line="240" w:lineRule="auto"/>
        <w:rPr>
          <w:rFonts w:eastAsia="Times New Roman" w:cstheme="minorHAnsi"/>
          <w:lang w:eastAsia="fr-FR"/>
        </w:rPr>
      </w:pPr>
      <w:r w:rsidRPr="006F1B91">
        <w:rPr>
          <w:rFonts w:eastAsia="Times New Roman" w:cstheme="minorHAnsi"/>
          <w:lang w:eastAsia="fr-FR"/>
        </w:rPr>
        <w:t>Or, cette mesure ne présente aucun lien avec l’article 1</w:t>
      </w:r>
      <w:r w:rsidRPr="006F1B91">
        <w:rPr>
          <w:rFonts w:eastAsia="Times New Roman" w:cstheme="minorHAnsi"/>
          <w:vertAlign w:val="superscript"/>
          <w:lang w:eastAsia="fr-FR"/>
        </w:rPr>
        <w:t>er</w:t>
      </w:r>
      <w:r w:rsidRPr="006F1B91">
        <w:rPr>
          <w:rFonts w:eastAsia="Times New Roman" w:cstheme="minorHAnsi"/>
          <w:lang w:eastAsia="fr-FR"/>
        </w:rPr>
        <w:t xml:space="preserve"> auquel elle était à l’origine rattachée. </w:t>
      </w:r>
      <w:r w:rsidRPr="006F1B91">
        <w:rPr>
          <w:rFonts w:eastAsia="Times New Roman" w:cstheme="minorHAnsi"/>
          <w:i/>
          <w:iCs/>
          <w:lang w:eastAsia="fr-FR"/>
        </w:rPr>
        <w:t>« Elles ne présentent pas non plus de lien, même indirect, avec aucune autre des dispositions qui figuraient dans la proposition de loi déposée sur le bureau de l'Assemblée nationale »</w:t>
      </w:r>
      <w:r w:rsidRPr="006F1B91">
        <w:rPr>
          <w:rFonts w:eastAsia="Times New Roman" w:cstheme="minorHAnsi"/>
          <w:lang w:eastAsia="fr-FR"/>
        </w:rPr>
        <w:t>, insiste la décision avant de prononcer l’inconstitutionnalité de l’article 2.</w:t>
      </w:r>
    </w:p>
    <w:p w14:paraId="32B20FFE" w14:textId="77777777" w:rsidR="006F1B91" w:rsidRPr="006F1B91" w:rsidRDefault="006F1B91" w:rsidP="006F1B91">
      <w:pPr>
        <w:spacing w:before="100" w:beforeAutospacing="1" w:after="100" w:afterAutospacing="1" w:line="240" w:lineRule="auto"/>
        <w:rPr>
          <w:rFonts w:eastAsia="Times New Roman" w:cstheme="minorHAnsi"/>
          <w:lang w:eastAsia="fr-FR"/>
        </w:rPr>
      </w:pPr>
      <w:r w:rsidRPr="006F1B91">
        <w:rPr>
          <w:rFonts w:eastAsia="Times New Roman" w:cstheme="minorHAnsi"/>
          <w:lang w:eastAsia="fr-FR"/>
        </w:rPr>
        <w:t xml:space="preserve">Face à la sévérité du verdict du juge constitutionnel, la commission des lois du Sénat a publié un communiqué dans lequel elle </w:t>
      </w:r>
      <w:r w:rsidRPr="006F1B91">
        <w:rPr>
          <w:rFonts w:eastAsia="Times New Roman" w:cstheme="minorHAnsi"/>
          <w:i/>
          <w:iCs/>
          <w:lang w:eastAsia="fr-FR"/>
        </w:rPr>
        <w:t>« prend acte »</w:t>
      </w:r>
      <w:r w:rsidRPr="006F1B91">
        <w:rPr>
          <w:rFonts w:eastAsia="Times New Roman" w:cstheme="minorHAnsi"/>
          <w:lang w:eastAsia="fr-FR"/>
        </w:rPr>
        <w:t xml:space="preserve"> de la décision. Celle-ci, estiment les sénateurs, </w:t>
      </w:r>
      <w:r w:rsidRPr="006F1B91">
        <w:rPr>
          <w:rFonts w:eastAsia="Times New Roman" w:cstheme="minorHAnsi"/>
          <w:i/>
          <w:iCs/>
          <w:lang w:eastAsia="fr-FR"/>
        </w:rPr>
        <w:t xml:space="preserve">« marque un durcissement net de la position du Conseil constitutionnel et </w:t>
      </w:r>
      <w:proofErr w:type="gramStart"/>
      <w:r w:rsidRPr="006F1B91">
        <w:rPr>
          <w:rFonts w:eastAsia="Times New Roman" w:cstheme="minorHAnsi"/>
          <w:i/>
          <w:iCs/>
          <w:lang w:eastAsia="fr-FR"/>
        </w:rPr>
        <w:t>un accentuation</w:t>
      </w:r>
      <w:proofErr w:type="gramEnd"/>
      <w:r w:rsidRPr="006F1B91">
        <w:rPr>
          <w:rFonts w:eastAsia="Times New Roman" w:cstheme="minorHAnsi"/>
          <w:i/>
          <w:iCs/>
          <w:lang w:eastAsia="fr-FR"/>
        </w:rPr>
        <w:t xml:space="preserve"> des exigences pesant sur les forces de sécurité intérieure et sur la police municipale »</w:t>
      </w:r>
      <w:r w:rsidRPr="006F1B91">
        <w:rPr>
          <w:rFonts w:eastAsia="Times New Roman" w:cstheme="minorHAnsi"/>
          <w:lang w:eastAsia="fr-FR"/>
        </w:rPr>
        <w:t>.</w:t>
      </w:r>
    </w:p>
    <w:p w14:paraId="741C4116" w14:textId="77777777" w:rsidR="006F1B91" w:rsidRPr="006F1B91" w:rsidRDefault="006F1B91" w:rsidP="006F1B91">
      <w:pPr>
        <w:spacing w:before="100" w:beforeAutospacing="1" w:after="100" w:afterAutospacing="1" w:line="240" w:lineRule="auto"/>
        <w:rPr>
          <w:rFonts w:eastAsia="Times New Roman" w:cstheme="minorHAnsi"/>
          <w:lang w:eastAsia="fr-FR"/>
        </w:rPr>
      </w:pPr>
      <w:r w:rsidRPr="006F1B91">
        <w:rPr>
          <w:rFonts w:eastAsia="Times New Roman" w:cstheme="minorHAnsi"/>
          <w:lang w:eastAsia="fr-FR"/>
        </w:rPr>
        <w:t xml:space="preserve">Le ministre de l’intérieur Gérald </w:t>
      </w:r>
      <w:proofErr w:type="spellStart"/>
      <w:r w:rsidRPr="006F1B91">
        <w:rPr>
          <w:rFonts w:eastAsia="Times New Roman" w:cstheme="minorHAnsi"/>
          <w:lang w:eastAsia="fr-FR"/>
        </w:rPr>
        <w:t>Daramin</w:t>
      </w:r>
      <w:proofErr w:type="spellEnd"/>
      <w:r w:rsidRPr="006F1B91">
        <w:rPr>
          <w:rFonts w:eastAsia="Times New Roman" w:cstheme="minorHAnsi"/>
          <w:lang w:eastAsia="fr-FR"/>
        </w:rPr>
        <w:t xml:space="preserve">, a lui aussi pris </w:t>
      </w:r>
      <w:r w:rsidRPr="006F1B91">
        <w:rPr>
          <w:rFonts w:eastAsia="Times New Roman" w:cstheme="minorHAnsi"/>
          <w:i/>
          <w:iCs/>
          <w:lang w:eastAsia="fr-FR"/>
        </w:rPr>
        <w:t>« acte »</w:t>
      </w:r>
      <w:r w:rsidRPr="006F1B91">
        <w:rPr>
          <w:rFonts w:eastAsia="Times New Roman" w:cstheme="minorHAnsi"/>
          <w:lang w:eastAsia="fr-FR"/>
        </w:rPr>
        <w:t xml:space="preserve">, sur Twitter, de la décision tout en se félicitant </w:t>
      </w:r>
      <w:r w:rsidRPr="006F1B91">
        <w:rPr>
          <w:rFonts w:eastAsia="Times New Roman" w:cstheme="minorHAnsi"/>
          <w:i/>
          <w:iCs/>
          <w:lang w:eastAsia="fr-FR"/>
        </w:rPr>
        <w:t>« des nombreuses dispositions validées »</w:t>
      </w:r>
      <w:r w:rsidRPr="006F1B91">
        <w:rPr>
          <w:rFonts w:eastAsia="Times New Roman" w:cstheme="minorHAnsi"/>
          <w:lang w:eastAsia="fr-FR"/>
        </w:rPr>
        <w:t xml:space="preserve">. Il a annoncé qu’il proposerait </w:t>
      </w:r>
      <w:r w:rsidRPr="006F1B91">
        <w:rPr>
          <w:rFonts w:eastAsia="Times New Roman" w:cstheme="minorHAnsi"/>
          <w:i/>
          <w:iCs/>
          <w:lang w:eastAsia="fr-FR"/>
        </w:rPr>
        <w:t>« au premier ministre d’améliorer les dispositions qui connaissent des réserves du Conseil constitutionnel »</w:t>
      </w:r>
      <w:r w:rsidRPr="006F1B91">
        <w:rPr>
          <w:rFonts w:eastAsia="Times New Roman" w:cstheme="minorHAnsi"/>
          <w:lang w:eastAsia="fr-FR"/>
        </w:rPr>
        <w:t>.</w:t>
      </w:r>
    </w:p>
    <w:p w14:paraId="7AF9E392" w14:textId="77777777" w:rsidR="006F1B91" w:rsidRPr="006F1B91" w:rsidRDefault="006F1B91" w:rsidP="006F1B91">
      <w:pPr>
        <w:spacing w:before="100" w:beforeAutospacing="1" w:after="100" w:afterAutospacing="1" w:line="240" w:lineRule="auto"/>
        <w:rPr>
          <w:rFonts w:eastAsia="Times New Roman" w:cstheme="minorHAnsi"/>
          <w:lang w:eastAsia="fr-FR"/>
        </w:rPr>
      </w:pPr>
      <w:r w:rsidRPr="006F1B91">
        <w:rPr>
          <w:rFonts w:eastAsia="Times New Roman" w:cstheme="minorHAnsi"/>
          <w:lang w:eastAsia="fr-FR"/>
        </w:rPr>
        <w:t xml:space="preserve">De son côté, l’association de défense des libertés numériques, La Quadrature du net, a salué, dans un communiqué une </w:t>
      </w:r>
      <w:r w:rsidRPr="006F1B91">
        <w:rPr>
          <w:rFonts w:eastAsia="Times New Roman" w:cstheme="minorHAnsi"/>
          <w:i/>
          <w:iCs/>
          <w:lang w:eastAsia="fr-FR"/>
        </w:rPr>
        <w:t>« victoire symbolique (…) aussi inespérée qu’inattendue »</w:t>
      </w:r>
      <w:r w:rsidRPr="006F1B91">
        <w:rPr>
          <w:rFonts w:eastAsia="Times New Roman" w:cstheme="minorHAnsi"/>
          <w:lang w:eastAsia="fr-FR"/>
        </w:rPr>
        <w:t xml:space="preserve">. </w:t>
      </w:r>
      <w:r w:rsidRPr="006F1B91">
        <w:rPr>
          <w:rFonts w:eastAsia="Times New Roman" w:cstheme="minorHAnsi"/>
          <w:i/>
          <w:iCs/>
          <w:lang w:eastAsia="fr-FR"/>
        </w:rPr>
        <w:t>« Nous pourrons continuer de manifester sans drone ni hélicoptère pour nous surveiller (ou du moins, si la police en déploie, elle le fera illégalement et nous aurons la légitimité démocratique de la faire cesser) »</w:t>
      </w:r>
      <w:r w:rsidRPr="006F1B91">
        <w:rPr>
          <w:rFonts w:eastAsia="Times New Roman" w:cstheme="minorHAnsi"/>
          <w:lang w:eastAsia="fr-FR"/>
        </w:rPr>
        <w:t>, écrit-elle.</w:t>
      </w:r>
    </w:p>
    <w:p w14:paraId="5F9C5E89" w14:textId="77777777" w:rsidR="006F1B91" w:rsidRPr="006F1B91" w:rsidRDefault="006F1B91" w:rsidP="006F1B91">
      <w:pPr>
        <w:spacing w:before="100" w:beforeAutospacing="1" w:after="100" w:afterAutospacing="1" w:line="240" w:lineRule="auto"/>
        <w:rPr>
          <w:rFonts w:eastAsia="Times New Roman" w:cstheme="minorHAnsi"/>
          <w:lang w:eastAsia="fr-FR"/>
        </w:rPr>
      </w:pPr>
      <w:r w:rsidRPr="006F1B91">
        <w:rPr>
          <w:rFonts w:eastAsia="Times New Roman" w:cstheme="minorHAnsi"/>
          <w:lang w:eastAsia="fr-FR"/>
        </w:rPr>
        <w:t xml:space="preserve">Elle souligne cependant que de </w:t>
      </w:r>
      <w:proofErr w:type="gramStart"/>
      <w:r w:rsidRPr="006F1B91">
        <w:rPr>
          <w:rFonts w:eastAsia="Times New Roman" w:cstheme="minorHAnsi"/>
          <w:lang w:eastAsia="fr-FR"/>
        </w:rPr>
        <w:t>nombreuses autre dispositions</w:t>
      </w:r>
      <w:proofErr w:type="gramEnd"/>
      <w:r w:rsidRPr="006F1B91">
        <w:rPr>
          <w:rFonts w:eastAsia="Times New Roman" w:cstheme="minorHAnsi"/>
          <w:lang w:eastAsia="fr-FR"/>
        </w:rPr>
        <w:t xml:space="preserve"> ont, elles, étaient déclarées conformes à la Constitution :</w:t>
      </w:r>
      <w:r w:rsidRPr="006F1B91">
        <w:rPr>
          <w:rFonts w:eastAsia="Times New Roman" w:cstheme="minorHAnsi"/>
          <w:i/>
          <w:iCs/>
          <w:lang w:eastAsia="fr-FR"/>
        </w:rPr>
        <w:t xml:space="preserve"> « L’extension à la police municipale de pouvoirs de vidéosurveillance (et à la SNCF et RATP), la surveillance des halls d’immeubles, la transmission en temps-réel des images des caméras-piétons ou leur usage pour les gardes-champêtres »</w:t>
      </w:r>
      <w:r w:rsidRPr="006F1B91">
        <w:rPr>
          <w:rFonts w:eastAsia="Times New Roman" w:cstheme="minorHAnsi"/>
          <w:lang w:eastAsia="fr-FR"/>
        </w:rPr>
        <w:t>.</w:t>
      </w:r>
    </w:p>
    <w:p w14:paraId="0CE38969" w14:textId="77777777" w:rsidR="006F1B91" w:rsidRPr="006F1B91" w:rsidRDefault="006F1B91" w:rsidP="006F1B91">
      <w:pPr>
        <w:spacing w:before="100" w:beforeAutospacing="1" w:after="100" w:afterAutospacing="1" w:line="240" w:lineRule="auto"/>
        <w:rPr>
          <w:rFonts w:eastAsia="Times New Roman" w:cstheme="minorHAnsi"/>
          <w:lang w:eastAsia="fr-FR"/>
        </w:rPr>
      </w:pPr>
    </w:p>
    <w:p w14:paraId="6D436C0A" w14:textId="77777777" w:rsidR="00447BA3" w:rsidRPr="006F1B91" w:rsidRDefault="00447BA3">
      <w:pPr>
        <w:rPr>
          <w:rFonts w:cstheme="minorHAnsi"/>
        </w:rPr>
      </w:pPr>
    </w:p>
    <w:sectPr w:rsidR="00447BA3" w:rsidRPr="006F1B91" w:rsidSect="006F1B9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B91"/>
    <w:rsid w:val="00447BA3"/>
    <w:rsid w:val="006F1B9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8F5AB"/>
  <w15:chartTrackingRefBased/>
  <w15:docId w15:val="{1D559D25-0B7E-47C6-A99D-A1B70FAE0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6F1B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F1B91"/>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semiHidden/>
    <w:unhideWhenUsed/>
    <w:rsid w:val="006F1B9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6F1B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155584">
      <w:bodyDiv w:val="1"/>
      <w:marLeft w:val="0"/>
      <w:marRight w:val="0"/>
      <w:marTop w:val="0"/>
      <w:marBottom w:val="0"/>
      <w:divBdr>
        <w:top w:val="none" w:sz="0" w:space="0" w:color="auto"/>
        <w:left w:val="none" w:sz="0" w:space="0" w:color="auto"/>
        <w:bottom w:val="none" w:sz="0" w:space="0" w:color="auto"/>
        <w:right w:val="none" w:sz="0" w:space="0" w:color="auto"/>
      </w:divBdr>
      <w:divsChild>
        <w:div w:id="1238251702">
          <w:marLeft w:val="0"/>
          <w:marRight w:val="0"/>
          <w:marTop w:val="0"/>
          <w:marBottom w:val="0"/>
          <w:divBdr>
            <w:top w:val="none" w:sz="0" w:space="0" w:color="auto"/>
            <w:left w:val="none" w:sz="0" w:space="0" w:color="auto"/>
            <w:bottom w:val="none" w:sz="0" w:space="0" w:color="auto"/>
            <w:right w:val="none" w:sz="0" w:space="0" w:color="auto"/>
          </w:divBdr>
          <w:divsChild>
            <w:div w:id="1410034360">
              <w:marLeft w:val="0"/>
              <w:marRight w:val="0"/>
              <w:marTop w:val="0"/>
              <w:marBottom w:val="0"/>
              <w:divBdr>
                <w:top w:val="none" w:sz="0" w:space="0" w:color="auto"/>
                <w:left w:val="none" w:sz="0" w:space="0" w:color="auto"/>
                <w:bottom w:val="none" w:sz="0" w:space="0" w:color="auto"/>
                <w:right w:val="none" w:sz="0" w:space="0" w:color="auto"/>
              </w:divBdr>
              <w:divsChild>
                <w:div w:id="1069883604">
                  <w:marLeft w:val="0"/>
                  <w:marRight w:val="0"/>
                  <w:marTop w:val="0"/>
                  <w:marBottom w:val="0"/>
                  <w:divBdr>
                    <w:top w:val="none" w:sz="0" w:space="0" w:color="auto"/>
                    <w:left w:val="none" w:sz="0" w:space="0" w:color="auto"/>
                    <w:bottom w:val="none" w:sz="0" w:space="0" w:color="auto"/>
                    <w:right w:val="none" w:sz="0" w:space="0" w:color="auto"/>
                  </w:divBdr>
                </w:div>
                <w:div w:id="1118717302">
                  <w:marLeft w:val="0"/>
                  <w:marRight w:val="0"/>
                  <w:marTop w:val="0"/>
                  <w:marBottom w:val="0"/>
                  <w:divBdr>
                    <w:top w:val="none" w:sz="0" w:space="0" w:color="auto"/>
                    <w:left w:val="none" w:sz="0" w:space="0" w:color="auto"/>
                    <w:bottom w:val="none" w:sz="0" w:space="0" w:color="auto"/>
                    <w:right w:val="none" w:sz="0" w:space="0" w:color="auto"/>
                  </w:divBdr>
                  <w:divsChild>
                    <w:div w:id="212160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864132">
              <w:marLeft w:val="0"/>
              <w:marRight w:val="0"/>
              <w:marTop w:val="0"/>
              <w:marBottom w:val="0"/>
              <w:divBdr>
                <w:top w:val="none" w:sz="0" w:space="0" w:color="auto"/>
                <w:left w:val="none" w:sz="0" w:space="0" w:color="auto"/>
                <w:bottom w:val="none" w:sz="0" w:space="0" w:color="auto"/>
                <w:right w:val="none" w:sz="0" w:space="0" w:color="auto"/>
              </w:divBdr>
              <w:divsChild>
                <w:div w:id="1243835443">
                  <w:marLeft w:val="0"/>
                  <w:marRight w:val="0"/>
                  <w:marTop w:val="0"/>
                  <w:marBottom w:val="0"/>
                  <w:divBdr>
                    <w:top w:val="none" w:sz="0" w:space="0" w:color="auto"/>
                    <w:left w:val="none" w:sz="0" w:space="0" w:color="auto"/>
                    <w:bottom w:val="none" w:sz="0" w:space="0" w:color="auto"/>
                    <w:right w:val="none" w:sz="0" w:space="0" w:color="auto"/>
                  </w:divBdr>
                  <w:divsChild>
                    <w:div w:id="213582256">
                      <w:marLeft w:val="0"/>
                      <w:marRight w:val="0"/>
                      <w:marTop w:val="0"/>
                      <w:marBottom w:val="0"/>
                      <w:divBdr>
                        <w:top w:val="none" w:sz="0" w:space="0" w:color="auto"/>
                        <w:left w:val="none" w:sz="0" w:space="0" w:color="auto"/>
                        <w:bottom w:val="none" w:sz="0" w:space="0" w:color="auto"/>
                        <w:right w:val="none" w:sz="0" w:space="0" w:color="auto"/>
                      </w:divBdr>
                      <w:divsChild>
                        <w:div w:id="123450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ediapart.fr/journal/france/110521/la-penalisation-des-squats-inquiete-les-associations" TargetMode="External"/><Relationship Id="rId5" Type="http://schemas.openxmlformats.org/officeDocument/2006/relationships/hyperlink" Target="https://twitter.com/cdeloire/status/1395400096796270594" TargetMode="External"/><Relationship Id="rId4" Type="http://schemas.openxmlformats.org/officeDocument/2006/relationships/hyperlink" Target="https://www.mediapart.fr/journal/france/211120/paris-des-milliers-de-manifestants-pour-contrer-la-derive-liberticide-du-pouvoi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1747</Words>
  <Characters>9609</Characters>
  <Application>Microsoft Office Word</Application>
  <DocSecurity>0</DocSecurity>
  <Lines>80</Lines>
  <Paragraphs>22</Paragraphs>
  <ScaleCrop>false</ScaleCrop>
  <Company/>
  <LinksUpToDate>false</LinksUpToDate>
  <CharactersWithSpaces>11334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1</cp:revision>
  <dcterms:created xsi:type="dcterms:W3CDTF">2021-05-21T09:35:00Z</dcterms:created>
  <dcterms:modified xsi:type="dcterms:W3CDTF">2021-05-21T09:35:00Z</dcterms:modified>
</cp:coreProperties>
</file>