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42F86" w14:textId="77777777" w:rsidR="001F34DC" w:rsidRPr="001F34DC" w:rsidRDefault="001F34DC" w:rsidP="001F34DC">
      <w:pPr>
        <w:pStyle w:val="Titre1"/>
        <w:spacing w:before="0"/>
        <w:rPr>
          <w:rFonts w:asciiTheme="minorHAnsi" w:hAnsiTheme="minorHAnsi" w:cstheme="minorHAnsi"/>
          <w:sz w:val="22"/>
          <w:szCs w:val="22"/>
        </w:rPr>
      </w:pPr>
      <w:r w:rsidRPr="001F34DC">
        <w:rPr>
          <w:rFonts w:asciiTheme="minorHAnsi" w:hAnsiTheme="minorHAnsi" w:cstheme="minorHAnsi"/>
          <w:sz w:val="22"/>
          <w:szCs w:val="22"/>
        </w:rPr>
        <w:t>Opinions politiques et syndicales, religion, santé : l’élargissement de trois fichiers policiers provoque l’inquiétude</w:t>
      </w:r>
    </w:p>
    <w:p w14:paraId="22DFE918" w14:textId="77777777" w:rsidR="001F34DC" w:rsidRPr="001F34DC" w:rsidRDefault="001F34DC" w:rsidP="001F34DC">
      <w:pPr>
        <w:rPr>
          <w:rFonts w:cstheme="minorHAnsi"/>
          <w:color w:val="8B9299"/>
        </w:rPr>
      </w:pPr>
      <w:r w:rsidRPr="001F34DC">
        <w:rPr>
          <w:rStyle w:val="yiv9283018474authors"/>
          <w:rFonts w:cstheme="minorHAnsi"/>
          <w:color w:val="8B9299"/>
        </w:rPr>
        <w:t xml:space="preserve">Par Martin </w:t>
      </w:r>
      <w:proofErr w:type="spellStart"/>
      <w:r w:rsidRPr="001F34DC">
        <w:rPr>
          <w:rStyle w:val="yiv9283018474authors"/>
          <w:rFonts w:cstheme="minorHAnsi"/>
          <w:color w:val="8B9299"/>
        </w:rPr>
        <w:t>Untersinger</w:t>
      </w:r>
      <w:proofErr w:type="spellEnd"/>
      <w:r w:rsidRPr="001F34DC">
        <w:rPr>
          <w:rStyle w:val="yiv9283018474authors"/>
          <w:rFonts w:cstheme="minorHAnsi"/>
          <w:color w:val="8B9299"/>
        </w:rPr>
        <w:t xml:space="preserve"> et Raphaëlle Besse </w:t>
      </w:r>
      <w:proofErr w:type="spellStart"/>
      <w:r w:rsidRPr="001F34DC">
        <w:rPr>
          <w:rStyle w:val="yiv9283018474authors"/>
          <w:rFonts w:cstheme="minorHAnsi"/>
          <w:color w:val="8B9299"/>
        </w:rPr>
        <w:t>Desmoulières</w:t>
      </w:r>
      <w:proofErr w:type="spellEnd"/>
    </w:p>
    <w:p w14:paraId="341FE3FE" w14:textId="77777777" w:rsidR="001F34DC" w:rsidRPr="001F34DC" w:rsidRDefault="001F34DC" w:rsidP="001F34DC">
      <w:pPr>
        <w:pStyle w:val="Titre2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F34DC">
        <w:rPr>
          <w:rFonts w:asciiTheme="minorHAnsi" w:hAnsiTheme="minorHAnsi" w:cstheme="minorHAnsi"/>
          <w:sz w:val="22"/>
          <w:szCs w:val="22"/>
        </w:rPr>
        <w:t>Le ministre de l’intérieur assure qu’il s’agit de les adapter à la lutte contre le terrorisme. Le secrétaire général de Force ouvrière (FO), Yves Veyrier, étudie la possibilité d’un recours.</w:t>
      </w:r>
    </w:p>
    <w:p w14:paraId="44D651A2" w14:textId="77777777" w:rsidR="001F34DC" w:rsidRPr="001F34DC" w:rsidRDefault="001F34DC" w:rsidP="001F34D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16212C"/>
          <w:sz w:val="22"/>
          <w:szCs w:val="22"/>
        </w:rPr>
      </w:pPr>
      <w:r w:rsidRPr="001F34DC">
        <w:rPr>
          <w:rFonts w:asciiTheme="minorHAnsi" w:hAnsiTheme="minorHAnsi" w:cstheme="minorHAnsi"/>
          <w:color w:val="16212C"/>
          <w:sz w:val="22"/>
          <w:szCs w:val="22"/>
        </w:rPr>
        <w:t>L’histoire commence à faire du bruit, dans un contexte déjà tendu par la proposition de loi « sécurité globale » et le texte « séparatisme ». Mercredi 9 décembre, le secrétaire général de Force ouvrière (FO), Yves Veyrier, a écrit à la ministre du travail, Elisabeth Borne, pour lui faire part de sa </w:t>
      </w:r>
      <w:r w:rsidRPr="001F34DC">
        <w:rPr>
          <w:rStyle w:val="Accentuation"/>
          <w:rFonts w:asciiTheme="minorHAnsi" w:hAnsiTheme="minorHAnsi" w:cstheme="minorHAnsi"/>
          <w:color w:val="16212C"/>
          <w:sz w:val="22"/>
          <w:szCs w:val="22"/>
        </w:rPr>
        <w:t>« stupéfaction »</w:t>
      </w:r>
      <w:r w:rsidRPr="001F34DC">
        <w:rPr>
          <w:rFonts w:asciiTheme="minorHAnsi" w:hAnsiTheme="minorHAnsi" w:cstheme="minorHAnsi"/>
          <w:color w:val="16212C"/>
          <w:sz w:val="22"/>
          <w:szCs w:val="22"/>
        </w:rPr>
        <w:t> et de ses </w:t>
      </w:r>
      <w:r w:rsidRPr="001F34DC">
        <w:rPr>
          <w:rStyle w:val="Accentuation"/>
          <w:rFonts w:asciiTheme="minorHAnsi" w:hAnsiTheme="minorHAnsi" w:cstheme="minorHAnsi"/>
          <w:color w:val="16212C"/>
          <w:sz w:val="22"/>
          <w:szCs w:val="22"/>
        </w:rPr>
        <w:t>« inquiétudes »</w:t>
      </w:r>
      <w:r w:rsidRPr="001F34DC">
        <w:rPr>
          <w:rFonts w:asciiTheme="minorHAnsi" w:hAnsiTheme="minorHAnsi" w:cstheme="minorHAnsi"/>
          <w:color w:val="16212C"/>
          <w:sz w:val="22"/>
          <w:szCs w:val="22"/>
        </w:rPr>
        <w:t> après </w:t>
      </w:r>
      <w:hyperlink r:id="rId5" w:tgtFrame="_blank" w:history="1">
        <w:r w:rsidRPr="001F34DC">
          <w:rPr>
            <w:rStyle w:val="Lienhypertexte"/>
            <w:rFonts w:asciiTheme="minorHAnsi" w:hAnsiTheme="minorHAnsi" w:cstheme="minorHAnsi"/>
            <w:color w:val="003366"/>
            <w:sz w:val="22"/>
            <w:szCs w:val="22"/>
          </w:rPr>
          <w:t>la publication, le 4 décembre au </w:t>
        </w:r>
        <w:r w:rsidRPr="001F34DC">
          <w:rPr>
            <w:rStyle w:val="Accentuation"/>
            <w:rFonts w:asciiTheme="minorHAnsi" w:hAnsiTheme="minorHAnsi" w:cstheme="minorHAnsi"/>
            <w:color w:val="003366"/>
            <w:sz w:val="22"/>
            <w:szCs w:val="22"/>
            <w:u w:val="single"/>
          </w:rPr>
          <w:t>Journal officiel,</w:t>
        </w:r>
        <w:r w:rsidRPr="001F34DC">
          <w:rPr>
            <w:rStyle w:val="Lienhypertexte"/>
            <w:rFonts w:asciiTheme="minorHAnsi" w:hAnsiTheme="minorHAnsi" w:cstheme="minorHAnsi"/>
            <w:color w:val="003366"/>
            <w:sz w:val="22"/>
            <w:szCs w:val="22"/>
          </w:rPr>
          <w:t> de trois décrets</w:t>
        </w:r>
      </w:hyperlink>
      <w:r w:rsidRPr="001F34DC">
        <w:rPr>
          <w:rFonts w:asciiTheme="minorHAnsi" w:hAnsiTheme="minorHAnsi" w:cstheme="minorHAnsi"/>
          <w:color w:val="16212C"/>
          <w:sz w:val="22"/>
          <w:szCs w:val="22"/>
        </w:rPr>
        <w:t> modifiant des dispositions du code de la sécurité intérieure relatives au traitement de données à caractère personnel.</w:t>
      </w:r>
    </w:p>
    <w:p w14:paraId="6D069542" w14:textId="77777777" w:rsidR="001F34DC" w:rsidRPr="001F34DC" w:rsidRDefault="001F34DC" w:rsidP="001F34D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16212C"/>
          <w:sz w:val="22"/>
          <w:szCs w:val="22"/>
        </w:rPr>
      </w:pPr>
      <w:r w:rsidRPr="001F34DC">
        <w:rPr>
          <w:rFonts w:asciiTheme="minorHAnsi" w:hAnsiTheme="minorHAnsi" w:cstheme="minorHAnsi"/>
          <w:color w:val="16212C"/>
          <w:sz w:val="22"/>
          <w:szCs w:val="22"/>
        </w:rPr>
        <w:t>Ces décrets permettent d’élargir le champ de trois fichiers, à disposition notamment de certains services de renseignement, de police et de gendarmerie. Les deux premiers, le fichier Prévention des atteintes à la sécurité publique (PASP) et celui de Gestion de l’information et prévention des atteintes à la sécurité publique (</w:t>
      </w:r>
      <w:proofErr w:type="spellStart"/>
      <w:r w:rsidRPr="001F34DC">
        <w:rPr>
          <w:rFonts w:asciiTheme="minorHAnsi" w:hAnsiTheme="minorHAnsi" w:cstheme="minorHAnsi"/>
          <w:color w:val="16212C"/>
          <w:sz w:val="22"/>
          <w:szCs w:val="22"/>
        </w:rPr>
        <w:t>Gipasp</w:t>
      </w:r>
      <w:proofErr w:type="spellEnd"/>
      <w:r w:rsidRPr="001F34DC">
        <w:rPr>
          <w:rFonts w:asciiTheme="minorHAnsi" w:hAnsiTheme="minorHAnsi" w:cstheme="minorHAnsi"/>
          <w:color w:val="16212C"/>
          <w:sz w:val="22"/>
          <w:szCs w:val="22"/>
        </w:rPr>
        <w:t xml:space="preserve">), peuvent concerner des personnes suspectées </w:t>
      </w:r>
      <w:proofErr w:type="gramStart"/>
      <w:r w:rsidRPr="001F34DC">
        <w:rPr>
          <w:rFonts w:asciiTheme="minorHAnsi" w:hAnsiTheme="minorHAnsi" w:cstheme="minorHAnsi"/>
          <w:color w:val="16212C"/>
          <w:sz w:val="22"/>
          <w:szCs w:val="22"/>
        </w:rPr>
        <w:t>de hooliganisme</w:t>
      </w:r>
      <w:proofErr w:type="gramEnd"/>
      <w:r w:rsidRPr="001F34DC">
        <w:rPr>
          <w:rFonts w:asciiTheme="minorHAnsi" w:hAnsiTheme="minorHAnsi" w:cstheme="minorHAnsi"/>
          <w:color w:val="16212C"/>
          <w:sz w:val="22"/>
          <w:szCs w:val="22"/>
        </w:rPr>
        <w:t xml:space="preserve">, de faits de terrorisme ou de violences lors de manifestations. Le troisième, Enquêtes administratives liées à la sécurité publique (EASP), est lui utilisé pour réaliser les enquêtes administratives préalables à certains recrutements dans la fonction publique. Début novembre, 60 686 personnes étaient inscrites au PASP, 67 000 au </w:t>
      </w:r>
      <w:proofErr w:type="spellStart"/>
      <w:r w:rsidRPr="001F34DC">
        <w:rPr>
          <w:rFonts w:asciiTheme="minorHAnsi" w:hAnsiTheme="minorHAnsi" w:cstheme="minorHAnsi"/>
          <w:color w:val="16212C"/>
          <w:sz w:val="22"/>
          <w:szCs w:val="22"/>
        </w:rPr>
        <w:t>Gipasp</w:t>
      </w:r>
      <w:proofErr w:type="spellEnd"/>
      <w:r w:rsidRPr="001F34DC">
        <w:rPr>
          <w:rFonts w:asciiTheme="minorHAnsi" w:hAnsiTheme="minorHAnsi" w:cstheme="minorHAnsi"/>
          <w:color w:val="16212C"/>
          <w:sz w:val="22"/>
          <w:szCs w:val="22"/>
        </w:rPr>
        <w:t xml:space="preserve"> et 221 711 à l’EASP, selon des chiffres communiqués à l’AFP par la place Beauvau.</w:t>
      </w:r>
    </w:p>
    <w:p w14:paraId="3098E3E9" w14:textId="77777777" w:rsidR="001F34DC" w:rsidRPr="001F34DC" w:rsidRDefault="001F34DC" w:rsidP="001F34DC">
      <w:pPr>
        <w:rPr>
          <w:rFonts w:cstheme="minorHAnsi"/>
          <w:color w:val="16212C"/>
        </w:rPr>
      </w:pPr>
      <w:r w:rsidRPr="001F34DC">
        <w:rPr>
          <w:rFonts w:cstheme="minorHAnsi"/>
          <w:color w:val="16212C"/>
        </w:rPr>
        <w:t>Lire aussi (2018) : L’Assemblée inscrit la « protection » des données personnelles dans la Constitution</w:t>
      </w:r>
    </w:p>
    <w:p w14:paraId="746C40E0" w14:textId="77777777" w:rsidR="001F34DC" w:rsidRPr="001F34DC" w:rsidRDefault="001F34DC" w:rsidP="001F34D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16212C"/>
          <w:sz w:val="22"/>
          <w:szCs w:val="22"/>
        </w:rPr>
      </w:pPr>
      <w:r w:rsidRPr="001F34DC">
        <w:rPr>
          <w:rFonts w:asciiTheme="minorHAnsi" w:hAnsiTheme="minorHAnsi" w:cstheme="minorHAnsi"/>
          <w:color w:val="16212C"/>
          <w:sz w:val="22"/>
          <w:szCs w:val="22"/>
        </w:rPr>
        <w:t>De nouvelles données pourront y être renseignées, notamment </w:t>
      </w:r>
      <w:r w:rsidRPr="001F34DC">
        <w:rPr>
          <w:rStyle w:val="Accentuation"/>
          <w:rFonts w:asciiTheme="minorHAnsi" w:hAnsiTheme="minorHAnsi" w:cstheme="minorHAnsi"/>
          <w:color w:val="16212C"/>
          <w:sz w:val="22"/>
          <w:szCs w:val="22"/>
        </w:rPr>
        <w:t>« les opinions politiques »,</w:t>
      </w:r>
      <w:r w:rsidRPr="001F34DC">
        <w:rPr>
          <w:rFonts w:asciiTheme="minorHAnsi" w:hAnsiTheme="minorHAnsi" w:cstheme="minorHAnsi"/>
          <w:color w:val="16212C"/>
          <w:sz w:val="22"/>
          <w:szCs w:val="22"/>
        </w:rPr>
        <w:t> les </w:t>
      </w:r>
      <w:r w:rsidRPr="001F34DC">
        <w:rPr>
          <w:rStyle w:val="Accentuation"/>
          <w:rFonts w:asciiTheme="minorHAnsi" w:hAnsiTheme="minorHAnsi" w:cstheme="minorHAnsi"/>
          <w:color w:val="16212C"/>
          <w:sz w:val="22"/>
          <w:szCs w:val="22"/>
        </w:rPr>
        <w:t>« convictions philosophiques et religieuses »</w:t>
      </w:r>
      <w:r w:rsidRPr="001F34DC">
        <w:rPr>
          <w:rFonts w:asciiTheme="minorHAnsi" w:hAnsiTheme="minorHAnsi" w:cstheme="minorHAnsi"/>
          <w:color w:val="16212C"/>
          <w:sz w:val="22"/>
          <w:szCs w:val="22"/>
        </w:rPr>
        <w:t> et l</w:t>
      </w:r>
      <w:proofErr w:type="gramStart"/>
      <w:r w:rsidRPr="001F34DC">
        <w:rPr>
          <w:rFonts w:asciiTheme="minorHAnsi" w:hAnsiTheme="minorHAnsi" w:cstheme="minorHAnsi"/>
          <w:color w:val="16212C"/>
          <w:sz w:val="22"/>
          <w:szCs w:val="22"/>
        </w:rPr>
        <w:t>’</w:t>
      </w:r>
      <w:r w:rsidRPr="001F34DC">
        <w:rPr>
          <w:rStyle w:val="Accentuation"/>
          <w:rFonts w:asciiTheme="minorHAnsi" w:hAnsiTheme="minorHAnsi" w:cstheme="minorHAnsi"/>
          <w:color w:val="16212C"/>
          <w:sz w:val="22"/>
          <w:szCs w:val="22"/>
        </w:rPr>
        <w:t>«</w:t>
      </w:r>
      <w:proofErr w:type="gramEnd"/>
      <w:r w:rsidRPr="001F34DC">
        <w:rPr>
          <w:rStyle w:val="Accentuation"/>
          <w:rFonts w:asciiTheme="minorHAnsi" w:hAnsiTheme="minorHAnsi" w:cstheme="minorHAnsi"/>
          <w:color w:val="16212C"/>
          <w:sz w:val="22"/>
          <w:szCs w:val="22"/>
        </w:rPr>
        <w:t> appartenance syndicale »</w:t>
      </w:r>
      <w:r w:rsidRPr="001F34DC">
        <w:rPr>
          <w:rFonts w:asciiTheme="minorHAnsi" w:hAnsiTheme="minorHAnsi" w:cstheme="minorHAnsi"/>
          <w:color w:val="16212C"/>
          <w:sz w:val="22"/>
          <w:szCs w:val="22"/>
        </w:rPr>
        <w:t>, et non plus seulement ses </w:t>
      </w:r>
      <w:r w:rsidRPr="001F34DC">
        <w:rPr>
          <w:rStyle w:val="Accentuation"/>
          <w:rFonts w:asciiTheme="minorHAnsi" w:hAnsiTheme="minorHAnsi" w:cstheme="minorHAnsi"/>
          <w:color w:val="16212C"/>
          <w:sz w:val="22"/>
          <w:szCs w:val="22"/>
        </w:rPr>
        <w:t>« activités » </w:t>
      </w:r>
      <w:r w:rsidRPr="001F34DC">
        <w:rPr>
          <w:rFonts w:asciiTheme="minorHAnsi" w:hAnsiTheme="minorHAnsi" w:cstheme="minorHAnsi"/>
          <w:color w:val="16212C"/>
          <w:sz w:val="22"/>
          <w:szCs w:val="22"/>
        </w:rPr>
        <w:t xml:space="preserve">politiques, religieuses ou syndicales. Les personnes morales – en l’occurrence les associations – pourront aussi y être consignées. Dans ses avis sur les fichiers PASP et </w:t>
      </w:r>
      <w:proofErr w:type="spellStart"/>
      <w:r w:rsidRPr="001F34DC">
        <w:rPr>
          <w:rFonts w:asciiTheme="minorHAnsi" w:hAnsiTheme="minorHAnsi" w:cstheme="minorHAnsi"/>
          <w:color w:val="16212C"/>
          <w:sz w:val="22"/>
          <w:szCs w:val="22"/>
        </w:rPr>
        <w:t>Gipasp</w:t>
      </w:r>
      <w:proofErr w:type="spellEnd"/>
      <w:r w:rsidRPr="001F34DC">
        <w:rPr>
          <w:rFonts w:asciiTheme="minorHAnsi" w:hAnsiTheme="minorHAnsi" w:cstheme="minorHAnsi"/>
          <w:color w:val="16212C"/>
          <w:sz w:val="22"/>
          <w:szCs w:val="22"/>
        </w:rPr>
        <w:t>, la Commission nationale de l’informatique et des libertés (CNIL) note que </w:t>
      </w:r>
      <w:r w:rsidRPr="001F34DC">
        <w:rPr>
          <w:rStyle w:val="Accentuation"/>
          <w:rFonts w:asciiTheme="minorHAnsi" w:hAnsiTheme="minorHAnsi" w:cstheme="minorHAnsi"/>
          <w:color w:val="16212C"/>
          <w:sz w:val="22"/>
          <w:szCs w:val="22"/>
        </w:rPr>
        <w:t>«</w:t>
      </w:r>
      <w:r w:rsidRPr="001F34DC">
        <w:rPr>
          <w:rFonts w:asciiTheme="minorHAnsi" w:hAnsiTheme="minorHAnsi" w:cstheme="minorHAnsi"/>
          <w:color w:val="16212C"/>
          <w:sz w:val="22"/>
          <w:szCs w:val="22"/>
        </w:rPr>
        <w:t> </w:t>
      </w:r>
      <w:r w:rsidRPr="001F34DC">
        <w:rPr>
          <w:rStyle w:val="Accentuation"/>
          <w:rFonts w:asciiTheme="minorHAnsi" w:hAnsiTheme="minorHAnsi" w:cstheme="minorHAnsi"/>
          <w:color w:val="16212C"/>
          <w:sz w:val="22"/>
          <w:szCs w:val="22"/>
        </w:rPr>
        <w:t>la rédaction de certaines catégories de données est particulièrement large »</w:t>
      </w:r>
      <w:r w:rsidRPr="001F34DC">
        <w:rPr>
          <w:rFonts w:asciiTheme="minorHAnsi" w:hAnsiTheme="minorHAnsi" w:cstheme="minorHAnsi"/>
          <w:color w:val="16212C"/>
          <w:sz w:val="22"/>
          <w:szCs w:val="22"/>
        </w:rPr>
        <w:t>.</w:t>
      </w:r>
    </w:p>
    <w:p w14:paraId="7801CC67" w14:textId="77777777" w:rsidR="001F34DC" w:rsidRPr="001F34DC" w:rsidRDefault="001F34DC" w:rsidP="001F34D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16212C"/>
          <w:sz w:val="22"/>
          <w:szCs w:val="22"/>
        </w:rPr>
      </w:pPr>
      <w:r w:rsidRPr="001F34DC">
        <w:rPr>
          <w:rFonts w:asciiTheme="minorHAnsi" w:hAnsiTheme="minorHAnsi" w:cstheme="minorHAnsi"/>
          <w:color w:val="16212C"/>
          <w:sz w:val="22"/>
          <w:szCs w:val="22"/>
        </w:rPr>
        <w:t>Outre les catégories mentionnées plus haut, les </w:t>
      </w:r>
      <w:r w:rsidRPr="001F34DC">
        <w:rPr>
          <w:rStyle w:val="Accentuation"/>
          <w:rFonts w:asciiTheme="minorHAnsi" w:hAnsiTheme="minorHAnsi" w:cstheme="minorHAnsi"/>
          <w:color w:val="16212C"/>
          <w:sz w:val="22"/>
          <w:szCs w:val="22"/>
        </w:rPr>
        <w:t>« données de santé révélant une dangerosité particulière »</w:t>
      </w:r>
      <w:r w:rsidRPr="001F34DC">
        <w:rPr>
          <w:rFonts w:asciiTheme="minorHAnsi" w:hAnsiTheme="minorHAnsi" w:cstheme="minorHAnsi"/>
          <w:color w:val="16212C"/>
          <w:sz w:val="22"/>
          <w:szCs w:val="22"/>
        </w:rPr>
        <w:t>, celles</w:t>
      </w:r>
      <w:r w:rsidRPr="001F34DC">
        <w:rPr>
          <w:rStyle w:val="Accentuation"/>
          <w:rFonts w:asciiTheme="minorHAnsi" w:hAnsiTheme="minorHAnsi" w:cstheme="minorHAnsi"/>
          <w:color w:val="16212C"/>
          <w:sz w:val="22"/>
          <w:szCs w:val="22"/>
        </w:rPr>
        <w:t> «</w:t>
      </w:r>
      <w:r w:rsidRPr="001F34DC">
        <w:rPr>
          <w:rFonts w:asciiTheme="minorHAnsi" w:hAnsiTheme="minorHAnsi" w:cstheme="minorHAnsi"/>
          <w:color w:val="16212C"/>
          <w:sz w:val="22"/>
          <w:szCs w:val="22"/>
        </w:rPr>
        <w:t> </w:t>
      </w:r>
      <w:r w:rsidRPr="001F34DC">
        <w:rPr>
          <w:rStyle w:val="Accentuation"/>
          <w:rFonts w:asciiTheme="minorHAnsi" w:hAnsiTheme="minorHAnsi" w:cstheme="minorHAnsi"/>
          <w:color w:val="16212C"/>
          <w:sz w:val="22"/>
          <w:szCs w:val="22"/>
        </w:rPr>
        <w:t>relatives aux troubles psychologiques ou psychiatriques »</w:t>
      </w:r>
      <w:r w:rsidRPr="001F34DC">
        <w:rPr>
          <w:rFonts w:asciiTheme="minorHAnsi" w:hAnsiTheme="minorHAnsi" w:cstheme="minorHAnsi"/>
          <w:color w:val="16212C"/>
          <w:sz w:val="22"/>
          <w:szCs w:val="22"/>
        </w:rPr>
        <w:t>, les </w:t>
      </w:r>
      <w:r w:rsidRPr="001F34DC">
        <w:rPr>
          <w:rStyle w:val="Accentuation"/>
          <w:rFonts w:asciiTheme="minorHAnsi" w:hAnsiTheme="minorHAnsi" w:cstheme="minorHAnsi"/>
          <w:color w:val="16212C"/>
          <w:sz w:val="22"/>
          <w:szCs w:val="22"/>
        </w:rPr>
        <w:t>«</w:t>
      </w:r>
      <w:r w:rsidRPr="001F34DC">
        <w:rPr>
          <w:rFonts w:asciiTheme="minorHAnsi" w:hAnsiTheme="minorHAnsi" w:cstheme="minorHAnsi"/>
          <w:color w:val="16212C"/>
          <w:sz w:val="22"/>
          <w:szCs w:val="22"/>
        </w:rPr>
        <w:t> </w:t>
      </w:r>
      <w:r w:rsidRPr="001F34DC">
        <w:rPr>
          <w:rStyle w:val="Accentuation"/>
          <w:rFonts w:asciiTheme="minorHAnsi" w:hAnsiTheme="minorHAnsi" w:cstheme="minorHAnsi"/>
          <w:color w:val="16212C"/>
          <w:sz w:val="22"/>
          <w:szCs w:val="22"/>
        </w:rPr>
        <w:t>comportements et habitudes de vie »</w:t>
      </w:r>
      <w:r w:rsidRPr="001F34DC">
        <w:rPr>
          <w:rFonts w:asciiTheme="minorHAnsi" w:hAnsiTheme="minorHAnsi" w:cstheme="minorHAnsi"/>
          <w:color w:val="16212C"/>
          <w:sz w:val="22"/>
          <w:szCs w:val="22"/>
        </w:rPr>
        <w:t>, les </w:t>
      </w:r>
      <w:r w:rsidRPr="001F34DC">
        <w:rPr>
          <w:rStyle w:val="Accentuation"/>
          <w:rFonts w:asciiTheme="minorHAnsi" w:hAnsiTheme="minorHAnsi" w:cstheme="minorHAnsi"/>
          <w:color w:val="16212C"/>
          <w:sz w:val="22"/>
          <w:szCs w:val="22"/>
        </w:rPr>
        <w:t>«</w:t>
      </w:r>
      <w:r w:rsidRPr="001F34DC">
        <w:rPr>
          <w:rFonts w:asciiTheme="minorHAnsi" w:hAnsiTheme="minorHAnsi" w:cstheme="minorHAnsi"/>
          <w:color w:val="16212C"/>
          <w:sz w:val="22"/>
          <w:szCs w:val="22"/>
        </w:rPr>
        <w:t> </w:t>
      </w:r>
      <w:r w:rsidRPr="001F34DC">
        <w:rPr>
          <w:rStyle w:val="Accentuation"/>
          <w:rFonts w:asciiTheme="minorHAnsi" w:hAnsiTheme="minorHAnsi" w:cstheme="minorHAnsi"/>
          <w:color w:val="16212C"/>
          <w:sz w:val="22"/>
          <w:szCs w:val="22"/>
        </w:rPr>
        <w:t>déplacements »</w:t>
      </w:r>
      <w:r w:rsidRPr="001F34DC">
        <w:rPr>
          <w:rFonts w:asciiTheme="minorHAnsi" w:hAnsiTheme="minorHAnsi" w:cstheme="minorHAnsi"/>
          <w:color w:val="16212C"/>
          <w:sz w:val="22"/>
          <w:szCs w:val="22"/>
        </w:rPr>
        <w:t>, les </w:t>
      </w:r>
      <w:r w:rsidRPr="001F34DC">
        <w:rPr>
          <w:rStyle w:val="Accentuation"/>
          <w:rFonts w:asciiTheme="minorHAnsi" w:hAnsiTheme="minorHAnsi" w:cstheme="minorHAnsi"/>
          <w:color w:val="16212C"/>
          <w:sz w:val="22"/>
          <w:szCs w:val="22"/>
        </w:rPr>
        <w:t>«</w:t>
      </w:r>
      <w:r w:rsidRPr="001F34DC">
        <w:rPr>
          <w:rFonts w:asciiTheme="minorHAnsi" w:hAnsiTheme="minorHAnsi" w:cstheme="minorHAnsi"/>
          <w:color w:val="16212C"/>
          <w:sz w:val="22"/>
          <w:szCs w:val="22"/>
        </w:rPr>
        <w:t> </w:t>
      </w:r>
      <w:r w:rsidRPr="001F34DC">
        <w:rPr>
          <w:rStyle w:val="Accentuation"/>
          <w:rFonts w:asciiTheme="minorHAnsi" w:hAnsiTheme="minorHAnsi" w:cstheme="minorHAnsi"/>
          <w:color w:val="16212C"/>
          <w:sz w:val="22"/>
          <w:szCs w:val="22"/>
        </w:rPr>
        <w:t>pratiques sportives »</w:t>
      </w:r>
      <w:r w:rsidRPr="001F34DC">
        <w:rPr>
          <w:rFonts w:asciiTheme="minorHAnsi" w:hAnsiTheme="minorHAnsi" w:cstheme="minorHAnsi"/>
          <w:color w:val="16212C"/>
          <w:sz w:val="22"/>
          <w:szCs w:val="22"/>
        </w:rPr>
        <w:t> ou encore les </w:t>
      </w:r>
      <w:r w:rsidRPr="001F34DC">
        <w:rPr>
          <w:rStyle w:val="Accentuation"/>
          <w:rFonts w:asciiTheme="minorHAnsi" w:hAnsiTheme="minorHAnsi" w:cstheme="minorHAnsi"/>
          <w:color w:val="16212C"/>
          <w:sz w:val="22"/>
          <w:szCs w:val="22"/>
        </w:rPr>
        <w:t>«</w:t>
      </w:r>
      <w:r w:rsidRPr="001F34DC">
        <w:rPr>
          <w:rFonts w:asciiTheme="minorHAnsi" w:hAnsiTheme="minorHAnsi" w:cstheme="minorHAnsi"/>
          <w:color w:val="16212C"/>
          <w:sz w:val="22"/>
          <w:szCs w:val="22"/>
        </w:rPr>
        <w:t> </w:t>
      </w:r>
      <w:r w:rsidRPr="001F34DC">
        <w:rPr>
          <w:rStyle w:val="Accentuation"/>
          <w:rFonts w:asciiTheme="minorHAnsi" w:hAnsiTheme="minorHAnsi" w:cstheme="minorHAnsi"/>
          <w:color w:val="16212C"/>
          <w:sz w:val="22"/>
          <w:szCs w:val="22"/>
        </w:rPr>
        <w:t>activités sur les réseaux sociaux »</w:t>
      </w:r>
      <w:r w:rsidRPr="001F34DC">
        <w:rPr>
          <w:rFonts w:asciiTheme="minorHAnsi" w:hAnsiTheme="minorHAnsi" w:cstheme="minorHAnsi"/>
          <w:color w:val="16212C"/>
          <w:sz w:val="22"/>
          <w:szCs w:val="22"/>
        </w:rPr>
        <w:t> pourront aussi y être inscrits. Les nouveaux décrets permettent également à l’exécutif d’étendre ces fichiers aux personnes présentant un danger pour la </w:t>
      </w:r>
      <w:r w:rsidRPr="001F34DC">
        <w:rPr>
          <w:rStyle w:val="Accentuation"/>
          <w:rFonts w:asciiTheme="minorHAnsi" w:hAnsiTheme="minorHAnsi" w:cstheme="minorHAnsi"/>
          <w:color w:val="16212C"/>
          <w:sz w:val="22"/>
          <w:szCs w:val="22"/>
        </w:rPr>
        <w:t>« sûreté de l’Etat », « susceptibles de porter atteinte aux intérêts fondamentaux de la nation ou de constituer une menace terroriste »</w:t>
      </w:r>
      <w:r w:rsidRPr="001F34DC">
        <w:rPr>
          <w:rFonts w:asciiTheme="minorHAnsi" w:hAnsiTheme="minorHAnsi" w:cstheme="minorHAnsi"/>
          <w:color w:val="16212C"/>
          <w:sz w:val="22"/>
          <w:szCs w:val="22"/>
        </w:rPr>
        <w:t>.</w:t>
      </w:r>
    </w:p>
    <w:p w14:paraId="780B9582" w14:textId="77777777" w:rsidR="001F34DC" w:rsidRPr="001F34DC" w:rsidRDefault="001F34DC" w:rsidP="001F34DC">
      <w:pPr>
        <w:pStyle w:val="Titre2"/>
        <w:spacing w:before="0" w:beforeAutospacing="0" w:after="0" w:afterAutospacing="0"/>
        <w:rPr>
          <w:rFonts w:asciiTheme="minorHAnsi" w:hAnsiTheme="minorHAnsi" w:cstheme="minorHAnsi"/>
          <w:color w:val="16212C"/>
          <w:sz w:val="22"/>
          <w:szCs w:val="22"/>
        </w:rPr>
      </w:pPr>
      <w:r w:rsidRPr="001F34DC">
        <w:rPr>
          <w:rFonts w:asciiTheme="minorHAnsi" w:hAnsiTheme="minorHAnsi" w:cstheme="minorHAnsi"/>
          <w:color w:val="16212C"/>
          <w:sz w:val="22"/>
          <w:szCs w:val="22"/>
        </w:rPr>
        <w:t>« Incompréhension »</w:t>
      </w:r>
    </w:p>
    <w:p w14:paraId="6F73936F" w14:textId="77777777" w:rsidR="001F34DC" w:rsidRPr="001F34DC" w:rsidRDefault="001F34DC" w:rsidP="001F34D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16212C"/>
          <w:sz w:val="22"/>
          <w:szCs w:val="22"/>
        </w:rPr>
      </w:pPr>
      <w:r w:rsidRPr="001F34DC">
        <w:rPr>
          <w:rFonts w:asciiTheme="minorHAnsi" w:hAnsiTheme="minorHAnsi" w:cstheme="minorHAnsi"/>
          <w:color w:val="16212C"/>
          <w:sz w:val="22"/>
          <w:szCs w:val="22"/>
        </w:rPr>
        <w:t>De quoi faire bondir M. Veyrier qui fait part dans son courrier de son « </w:t>
      </w:r>
      <w:r w:rsidRPr="001F34DC">
        <w:rPr>
          <w:rStyle w:val="Accentuation"/>
          <w:rFonts w:asciiTheme="minorHAnsi" w:hAnsiTheme="minorHAnsi" w:cstheme="minorHAnsi"/>
          <w:color w:val="16212C"/>
          <w:sz w:val="22"/>
          <w:szCs w:val="22"/>
        </w:rPr>
        <w:t>incompréhension »</w:t>
      </w:r>
      <w:r w:rsidRPr="001F34DC">
        <w:rPr>
          <w:rFonts w:asciiTheme="minorHAnsi" w:hAnsiTheme="minorHAnsi" w:cstheme="minorHAnsi"/>
          <w:color w:val="16212C"/>
          <w:sz w:val="22"/>
          <w:szCs w:val="22"/>
        </w:rPr>
        <w:t> – cela </w:t>
      </w:r>
      <w:r w:rsidRPr="001F34DC">
        <w:rPr>
          <w:rStyle w:val="Accentuation"/>
          <w:rFonts w:asciiTheme="minorHAnsi" w:hAnsiTheme="minorHAnsi" w:cstheme="minorHAnsi"/>
          <w:color w:val="16212C"/>
          <w:sz w:val="22"/>
          <w:szCs w:val="22"/>
        </w:rPr>
        <w:t>« pouvant laisser à penser que le simple fait d’être adhérent d’un syndicat, ou d’être un syndicat, puisse être rattaché à l’objet de ces articles et justifier un tel fichage ». </w:t>
      </w:r>
      <w:r w:rsidRPr="001F34DC">
        <w:rPr>
          <w:rFonts w:asciiTheme="minorHAnsi" w:hAnsiTheme="minorHAnsi" w:cstheme="minorHAnsi"/>
          <w:color w:val="16212C"/>
          <w:sz w:val="22"/>
          <w:szCs w:val="22"/>
        </w:rPr>
        <w:t xml:space="preserve">Il regrette aussi de ne pas en avoir été informé au préalable alors que son syndicat rencontre régulièrement le gouvernement. Ces dispositions pouvant selon lui </w:t>
      </w:r>
      <w:proofErr w:type="gramStart"/>
      <w:r w:rsidRPr="001F34DC">
        <w:rPr>
          <w:rFonts w:asciiTheme="minorHAnsi" w:hAnsiTheme="minorHAnsi" w:cstheme="minorHAnsi"/>
          <w:color w:val="16212C"/>
          <w:sz w:val="22"/>
          <w:szCs w:val="22"/>
        </w:rPr>
        <w:t>porter</w:t>
      </w:r>
      <w:r w:rsidRPr="001F34DC">
        <w:rPr>
          <w:rStyle w:val="Accentuation"/>
          <w:rFonts w:asciiTheme="minorHAnsi" w:hAnsiTheme="minorHAnsi" w:cstheme="minorHAnsi"/>
          <w:color w:val="16212C"/>
          <w:sz w:val="22"/>
          <w:szCs w:val="22"/>
        </w:rPr>
        <w:t>«</w:t>
      </w:r>
      <w:proofErr w:type="gramEnd"/>
      <w:r w:rsidRPr="001F34DC">
        <w:rPr>
          <w:rStyle w:val="Accentuation"/>
          <w:rFonts w:asciiTheme="minorHAnsi" w:hAnsiTheme="minorHAnsi" w:cstheme="minorHAnsi"/>
          <w:color w:val="16212C"/>
          <w:sz w:val="22"/>
          <w:szCs w:val="22"/>
        </w:rPr>
        <w:t> atteinte au principe de la liberté syndicale reconnue par les textes européens et internationaux », </w:t>
      </w:r>
      <w:r w:rsidRPr="001F34DC">
        <w:rPr>
          <w:rFonts w:asciiTheme="minorHAnsi" w:hAnsiTheme="minorHAnsi" w:cstheme="minorHAnsi"/>
          <w:color w:val="16212C"/>
          <w:sz w:val="22"/>
          <w:szCs w:val="22"/>
        </w:rPr>
        <w:t>il demande que le texte incriminé </w:t>
      </w:r>
      <w:r w:rsidRPr="001F34DC">
        <w:rPr>
          <w:rStyle w:val="Accentuation"/>
          <w:rFonts w:asciiTheme="minorHAnsi" w:hAnsiTheme="minorHAnsi" w:cstheme="minorHAnsi"/>
          <w:color w:val="16212C"/>
          <w:sz w:val="22"/>
          <w:szCs w:val="22"/>
        </w:rPr>
        <w:t>« puisse être suspendu et retiré sur ces aspects »</w:t>
      </w:r>
      <w:r w:rsidRPr="001F34DC">
        <w:rPr>
          <w:rFonts w:asciiTheme="minorHAnsi" w:hAnsiTheme="minorHAnsi" w:cstheme="minorHAnsi"/>
          <w:color w:val="16212C"/>
          <w:sz w:val="22"/>
          <w:szCs w:val="22"/>
        </w:rPr>
        <w:t>. M. Veyrier précise au </w:t>
      </w:r>
      <w:r w:rsidRPr="001F34DC">
        <w:rPr>
          <w:rStyle w:val="Accentuation"/>
          <w:rFonts w:asciiTheme="minorHAnsi" w:hAnsiTheme="minorHAnsi" w:cstheme="minorHAnsi"/>
          <w:color w:val="16212C"/>
          <w:sz w:val="22"/>
          <w:szCs w:val="22"/>
        </w:rPr>
        <w:t>Monde </w:t>
      </w:r>
      <w:r w:rsidRPr="001F34DC">
        <w:rPr>
          <w:rFonts w:asciiTheme="minorHAnsi" w:hAnsiTheme="minorHAnsi" w:cstheme="minorHAnsi"/>
          <w:color w:val="16212C"/>
          <w:sz w:val="22"/>
          <w:szCs w:val="22"/>
        </w:rPr>
        <w:t>que sa confédération </w:t>
      </w:r>
      <w:r w:rsidRPr="001F34DC">
        <w:rPr>
          <w:rStyle w:val="Accentuation"/>
          <w:rFonts w:asciiTheme="minorHAnsi" w:hAnsiTheme="minorHAnsi" w:cstheme="minorHAnsi"/>
          <w:color w:val="16212C"/>
          <w:sz w:val="22"/>
          <w:szCs w:val="22"/>
        </w:rPr>
        <w:t>« étudie la possibilité d’un recours devant le Conseil d’Etat »</w:t>
      </w:r>
      <w:r w:rsidRPr="001F34DC">
        <w:rPr>
          <w:rFonts w:asciiTheme="minorHAnsi" w:hAnsiTheme="minorHAnsi" w:cstheme="minorHAnsi"/>
          <w:color w:val="16212C"/>
          <w:sz w:val="22"/>
          <w:szCs w:val="22"/>
        </w:rPr>
        <w:t>.</w:t>
      </w:r>
    </w:p>
    <w:p w14:paraId="3FEC093A" w14:textId="77777777" w:rsidR="001F34DC" w:rsidRPr="001F34DC" w:rsidRDefault="001F34DC" w:rsidP="001F34D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16212C"/>
          <w:sz w:val="22"/>
          <w:szCs w:val="22"/>
        </w:rPr>
      </w:pPr>
      <w:r w:rsidRPr="001F34DC">
        <w:rPr>
          <w:rFonts w:asciiTheme="minorHAnsi" w:hAnsiTheme="minorHAnsi" w:cstheme="minorHAnsi"/>
          <w:color w:val="16212C"/>
          <w:sz w:val="22"/>
          <w:szCs w:val="22"/>
        </w:rPr>
        <w:t>Le numéro un de FO n’est pas le seul à s’en émouvoir. Huit députés ex-La République en marche (LRM), dont Matthieu Orphelin, Aurélien Taché ou Cédric Villani, </w:t>
      </w:r>
      <w:hyperlink r:id="rId6" w:tgtFrame="_blank" w:history="1">
        <w:r w:rsidRPr="001F34DC">
          <w:rPr>
            <w:rStyle w:val="Lienhypertexte"/>
            <w:rFonts w:asciiTheme="minorHAnsi" w:hAnsiTheme="minorHAnsi" w:cstheme="minorHAnsi"/>
            <w:color w:val="003366"/>
            <w:sz w:val="22"/>
            <w:szCs w:val="22"/>
          </w:rPr>
          <w:t>ont également pris la plume mercredi</w:t>
        </w:r>
      </w:hyperlink>
      <w:r w:rsidRPr="001F34DC">
        <w:rPr>
          <w:rFonts w:asciiTheme="minorHAnsi" w:hAnsiTheme="minorHAnsi" w:cstheme="minorHAnsi"/>
          <w:color w:val="16212C"/>
          <w:sz w:val="22"/>
          <w:szCs w:val="22"/>
        </w:rPr>
        <w:t> pour demander au ministre de l’intérieur, Gérald Darmanin, des </w:t>
      </w:r>
      <w:r w:rsidRPr="001F34DC">
        <w:rPr>
          <w:rStyle w:val="Accentuation"/>
          <w:rFonts w:asciiTheme="minorHAnsi" w:hAnsiTheme="minorHAnsi" w:cstheme="minorHAnsi"/>
          <w:color w:val="16212C"/>
          <w:sz w:val="22"/>
          <w:szCs w:val="22"/>
        </w:rPr>
        <w:t>« éclaircissements</w:t>
      </w:r>
      <w:proofErr w:type="gramStart"/>
      <w:r w:rsidRPr="001F34DC">
        <w:rPr>
          <w:rStyle w:val="Accentuation"/>
          <w:rFonts w:asciiTheme="minorHAnsi" w:hAnsiTheme="minorHAnsi" w:cstheme="minorHAnsi"/>
          <w:color w:val="16212C"/>
          <w:sz w:val="22"/>
          <w:szCs w:val="22"/>
        </w:rPr>
        <w:t> »</w:t>
      </w:r>
      <w:r w:rsidRPr="001F34DC">
        <w:rPr>
          <w:rFonts w:asciiTheme="minorHAnsi" w:hAnsiTheme="minorHAnsi" w:cstheme="minorHAnsi"/>
          <w:color w:val="16212C"/>
          <w:sz w:val="22"/>
          <w:szCs w:val="22"/>
        </w:rPr>
        <w:t>sur</w:t>
      </w:r>
      <w:proofErr w:type="gramEnd"/>
      <w:r w:rsidRPr="001F34DC">
        <w:rPr>
          <w:rFonts w:asciiTheme="minorHAnsi" w:hAnsiTheme="minorHAnsi" w:cstheme="minorHAnsi"/>
          <w:color w:val="16212C"/>
          <w:sz w:val="22"/>
          <w:szCs w:val="22"/>
        </w:rPr>
        <w:t xml:space="preserve"> ces changements réglementaires autorisant </w:t>
      </w:r>
      <w:r w:rsidRPr="001F34DC">
        <w:rPr>
          <w:rStyle w:val="Accentuation"/>
          <w:rFonts w:asciiTheme="minorHAnsi" w:hAnsiTheme="minorHAnsi" w:cstheme="minorHAnsi"/>
          <w:color w:val="16212C"/>
          <w:sz w:val="22"/>
          <w:szCs w:val="22"/>
        </w:rPr>
        <w:t>« l’enregistrement de données personnelles potentiellement très sensibles »</w:t>
      </w:r>
      <w:r w:rsidRPr="001F34DC">
        <w:rPr>
          <w:rFonts w:asciiTheme="minorHAnsi" w:hAnsiTheme="minorHAnsi" w:cstheme="minorHAnsi"/>
          <w:color w:val="16212C"/>
          <w:sz w:val="22"/>
          <w:szCs w:val="22"/>
        </w:rPr>
        <w:t> dont </w:t>
      </w:r>
      <w:r w:rsidRPr="001F34DC">
        <w:rPr>
          <w:rStyle w:val="Accentuation"/>
          <w:rFonts w:asciiTheme="minorHAnsi" w:hAnsiTheme="minorHAnsi" w:cstheme="minorHAnsi"/>
          <w:color w:val="16212C"/>
          <w:sz w:val="22"/>
          <w:szCs w:val="22"/>
        </w:rPr>
        <w:t>« l’ampleur et la portée </w:t>
      </w:r>
      <w:r w:rsidRPr="001F34DC">
        <w:rPr>
          <w:rFonts w:asciiTheme="minorHAnsi" w:hAnsiTheme="minorHAnsi" w:cstheme="minorHAnsi"/>
          <w:color w:val="16212C"/>
          <w:sz w:val="22"/>
          <w:szCs w:val="22"/>
        </w:rPr>
        <w:t>(…) </w:t>
      </w:r>
      <w:r w:rsidRPr="001F34DC">
        <w:rPr>
          <w:rStyle w:val="Accentuation"/>
          <w:rFonts w:asciiTheme="minorHAnsi" w:hAnsiTheme="minorHAnsi" w:cstheme="minorHAnsi"/>
          <w:color w:val="16212C"/>
          <w:sz w:val="22"/>
          <w:szCs w:val="22"/>
        </w:rPr>
        <w:t>interpellent »</w:t>
      </w:r>
      <w:r w:rsidRPr="001F34DC">
        <w:rPr>
          <w:rFonts w:asciiTheme="minorHAnsi" w:hAnsiTheme="minorHAnsi" w:cstheme="minorHAnsi"/>
          <w:color w:val="16212C"/>
          <w:sz w:val="22"/>
          <w:szCs w:val="22"/>
        </w:rPr>
        <w:t>.</w:t>
      </w:r>
    </w:p>
    <w:p w14:paraId="5D2AD24E" w14:textId="77777777" w:rsidR="001F34DC" w:rsidRPr="001F34DC" w:rsidRDefault="001F34DC" w:rsidP="001F34D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16212C"/>
          <w:sz w:val="22"/>
          <w:szCs w:val="22"/>
        </w:rPr>
      </w:pPr>
      <w:r w:rsidRPr="001F34DC">
        <w:rPr>
          <w:rFonts w:asciiTheme="minorHAnsi" w:hAnsiTheme="minorHAnsi" w:cstheme="minorHAnsi"/>
          <w:color w:val="16212C"/>
          <w:sz w:val="22"/>
          <w:szCs w:val="22"/>
        </w:rPr>
        <w:t>Sur Twitter, </w:t>
      </w:r>
      <w:hyperlink r:id="rId7" w:tgtFrame="_blank" w:history="1">
        <w:r w:rsidRPr="001F34DC">
          <w:rPr>
            <w:rStyle w:val="Lienhypertexte"/>
            <w:rFonts w:asciiTheme="minorHAnsi" w:hAnsiTheme="minorHAnsi" w:cstheme="minorHAnsi"/>
            <w:color w:val="003366"/>
            <w:sz w:val="22"/>
            <w:szCs w:val="22"/>
          </w:rPr>
          <w:t>le député Parti socialiste (PS) Boris Vallaud</w:t>
        </w:r>
      </w:hyperlink>
      <w:r w:rsidRPr="001F34DC">
        <w:rPr>
          <w:rFonts w:asciiTheme="minorHAnsi" w:hAnsiTheme="minorHAnsi" w:cstheme="minorHAnsi"/>
          <w:color w:val="16212C"/>
          <w:sz w:val="22"/>
          <w:szCs w:val="22"/>
        </w:rPr>
        <w:t> a demandé </w:t>
      </w:r>
      <w:r w:rsidRPr="001F34DC">
        <w:rPr>
          <w:rStyle w:val="Accentuation"/>
          <w:rFonts w:asciiTheme="minorHAnsi" w:hAnsiTheme="minorHAnsi" w:cstheme="minorHAnsi"/>
          <w:color w:val="16212C"/>
          <w:sz w:val="22"/>
          <w:szCs w:val="22"/>
        </w:rPr>
        <w:t>le « retrait de ces dispositions »</w:t>
      </w:r>
      <w:r w:rsidRPr="001F34DC">
        <w:rPr>
          <w:rFonts w:asciiTheme="minorHAnsi" w:hAnsiTheme="minorHAnsi" w:cstheme="minorHAnsi"/>
          <w:color w:val="16212C"/>
          <w:sz w:val="22"/>
          <w:szCs w:val="22"/>
        </w:rPr>
        <w:t> quand son collègue de La France insoumise (LFI), François Ruffin, a raillé : </w:t>
      </w:r>
      <w:r w:rsidRPr="001F34DC">
        <w:rPr>
          <w:rStyle w:val="Accentuation"/>
          <w:rFonts w:asciiTheme="minorHAnsi" w:hAnsiTheme="minorHAnsi" w:cstheme="minorHAnsi"/>
          <w:color w:val="16212C"/>
          <w:sz w:val="22"/>
          <w:szCs w:val="22"/>
        </w:rPr>
        <w:t>« Surveillance des activités politiques, syndicales, religieuses, des opinions politiques, philosophiques, des comportements, des habitudes de vie, des pratiques sportives. Jusqu’ici tout va bien… »</w:t>
      </w:r>
      <w:r w:rsidRPr="001F34DC">
        <w:rPr>
          <w:rFonts w:asciiTheme="minorHAnsi" w:hAnsiTheme="minorHAnsi" w:cstheme="minorHAnsi"/>
          <w:color w:val="16212C"/>
          <w:sz w:val="22"/>
          <w:szCs w:val="22"/>
        </w:rPr>
        <w:t> Dans un communiqué, Europe Ecologie-Les Verts a estimé que </w:t>
      </w:r>
      <w:r w:rsidRPr="001F34DC">
        <w:rPr>
          <w:rStyle w:val="Accentuation"/>
          <w:rFonts w:asciiTheme="minorHAnsi" w:hAnsiTheme="minorHAnsi" w:cstheme="minorHAnsi"/>
          <w:color w:val="16212C"/>
          <w:sz w:val="22"/>
          <w:szCs w:val="22"/>
        </w:rPr>
        <w:t>« ces décrets représentent une atteinte supplémentaire à nos libertés les plus fondamentales ». </w:t>
      </w:r>
    </w:p>
    <w:p w14:paraId="4ED2EB2D" w14:textId="77777777" w:rsidR="001F34DC" w:rsidRPr="001F34DC" w:rsidRDefault="001F34DC" w:rsidP="001F34D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16212C"/>
          <w:sz w:val="22"/>
          <w:szCs w:val="22"/>
        </w:rPr>
      </w:pPr>
      <w:r w:rsidRPr="001F34DC">
        <w:rPr>
          <w:rFonts w:asciiTheme="minorHAnsi" w:hAnsiTheme="minorHAnsi" w:cstheme="minorHAnsi"/>
          <w:color w:val="16212C"/>
          <w:sz w:val="22"/>
          <w:szCs w:val="22"/>
        </w:rPr>
        <w:t>Le but de ces modifications, selon le ministère de l’intérieur, est d’adapter ces fichiers à la lutte contre le terrorisme. Interrogé mercredi lors des questions au gouvernement au Sénat, M. Darmanin, a justifié ces nouvelles dispositions, notamment par </w:t>
      </w:r>
      <w:r w:rsidRPr="001F34DC">
        <w:rPr>
          <w:rStyle w:val="Accentuation"/>
          <w:rFonts w:asciiTheme="minorHAnsi" w:hAnsiTheme="minorHAnsi" w:cstheme="minorHAnsi"/>
          <w:color w:val="16212C"/>
          <w:sz w:val="22"/>
          <w:szCs w:val="22"/>
        </w:rPr>
        <w:t>« l’évolution de la menace »</w:t>
      </w:r>
      <w:r w:rsidRPr="001F34DC">
        <w:rPr>
          <w:rFonts w:asciiTheme="minorHAnsi" w:hAnsiTheme="minorHAnsi" w:cstheme="minorHAnsi"/>
          <w:color w:val="16212C"/>
          <w:sz w:val="22"/>
          <w:szCs w:val="22"/>
        </w:rPr>
        <w:t>. </w:t>
      </w:r>
      <w:r w:rsidRPr="001F34DC">
        <w:rPr>
          <w:rStyle w:val="Accentuation"/>
          <w:rFonts w:asciiTheme="minorHAnsi" w:hAnsiTheme="minorHAnsi" w:cstheme="minorHAnsi"/>
          <w:color w:val="16212C"/>
          <w:sz w:val="22"/>
          <w:szCs w:val="22"/>
        </w:rPr>
        <w:t>« A chaque fois, ces décrets sont pris après avis de la CNIL et validés par le Conseil d’Etat »</w:t>
      </w:r>
      <w:r w:rsidRPr="001F34DC">
        <w:rPr>
          <w:rFonts w:asciiTheme="minorHAnsi" w:hAnsiTheme="minorHAnsi" w:cstheme="minorHAnsi"/>
          <w:color w:val="16212C"/>
          <w:sz w:val="22"/>
          <w:szCs w:val="22"/>
        </w:rPr>
        <w:t>, a-t-il déclaré, assurant qu</w:t>
      </w:r>
      <w:proofErr w:type="gramStart"/>
      <w:r w:rsidRPr="001F34DC">
        <w:rPr>
          <w:rFonts w:asciiTheme="minorHAnsi" w:hAnsiTheme="minorHAnsi" w:cstheme="minorHAnsi"/>
          <w:color w:val="16212C"/>
          <w:sz w:val="22"/>
          <w:szCs w:val="22"/>
        </w:rPr>
        <w:t>’</w:t>
      </w:r>
      <w:r w:rsidRPr="001F34DC">
        <w:rPr>
          <w:rStyle w:val="Accentuation"/>
          <w:rFonts w:asciiTheme="minorHAnsi" w:hAnsiTheme="minorHAnsi" w:cstheme="minorHAnsi"/>
          <w:color w:val="16212C"/>
          <w:sz w:val="22"/>
          <w:szCs w:val="22"/>
        </w:rPr>
        <w:t>«</w:t>
      </w:r>
      <w:proofErr w:type="gramEnd"/>
      <w:r w:rsidRPr="001F34DC">
        <w:rPr>
          <w:rStyle w:val="Accentuation"/>
          <w:rFonts w:asciiTheme="minorHAnsi" w:hAnsiTheme="minorHAnsi" w:cstheme="minorHAnsi"/>
          <w:color w:val="16212C"/>
          <w:sz w:val="22"/>
          <w:szCs w:val="22"/>
        </w:rPr>
        <w:t> il s’agit toujours de suivre les opinions des personnes extrémistes qui commettent des attentats et en aucun cas de retrouver les anciennes difficultés que notre pays a pu connaître »</w:t>
      </w:r>
      <w:r w:rsidRPr="001F34DC">
        <w:rPr>
          <w:rFonts w:asciiTheme="minorHAnsi" w:hAnsiTheme="minorHAnsi" w:cstheme="minorHAnsi"/>
          <w:color w:val="16212C"/>
          <w:sz w:val="22"/>
          <w:szCs w:val="22"/>
        </w:rPr>
        <w:t>.</w:t>
      </w:r>
    </w:p>
    <w:p w14:paraId="0C950C52" w14:textId="77777777" w:rsidR="001F34DC" w:rsidRPr="001F34DC" w:rsidRDefault="001F34DC" w:rsidP="001F34DC">
      <w:pPr>
        <w:pStyle w:val="Titre2"/>
        <w:spacing w:before="0" w:beforeAutospacing="0" w:after="0" w:afterAutospacing="0"/>
        <w:rPr>
          <w:rFonts w:asciiTheme="minorHAnsi" w:hAnsiTheme="minorHAnsi" w:cstheme="minorHAnsi"/>
          <w:color w:val="16212C"/>
          <w:sz w:val="22"/>
          <w:szCs w:val="22"/>
        </w:rPr>
      </w:pPr>
      <w:r w:rsidRPr="001F34DC">
        <w:rPr>
          <w:rFonts w:asciiTheme="minorHAnsi" w:hAnsiTheme="minorHAnsi" w:cstheme="minorHAnsi"/>
          <w:color w:val="16212C"/>
          <w:sz w:val="22"/>
          <w:szCs w:val="22"/>
        </w:rPr>
        <w:t>« Glissement sémantique »</w:t>
      </w:r>
    </w:p>
    <w:p w14:paraId="4D0659A4" w14:textId="77777777" w:rsidR="001F34DC" w:rsidRPr="001F34DC" w:rsidRDefault="001F34DC" w:rsidP="001F34D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16212C"/>
          <w:sz w:val="22"/>
          <w:szCs w:val="22"/>
        </w:rPr>
      </w:pPr>
      <w:r w:rsidRPr="001F34DC">
        <w:rPr>
          <w:rFonts w:asciiTheme="minorHAnsi" w:hAnsiTheme="minorHAnsi" w:cstheme="minorHAnsi"/>
          <w:color w:val="16212C"/>
          <w:sz w:val="22"/>
          <w:szCs w:val="22"/>
        </w:rPr>
        <w:t xml:space="preserve">Une référence au fichier Edvige qui avait créé la polémique en 2008, obligeant l’exécutif de l’époque à faire marche arrière. De son côté, le député LRM de Côte-d’Or, Didier Paris, coauteur en 2018 d’un rapport parlementaire sur les </w:t>
      </w:r>
      <w:r w:rsidRPr="001F34DC">
        <w:rPr>
          <w:rFonts w:asciiTheme="minorHAnsi" w:hAnsiTheme="minorHAnsi" w:cstheme="minorHAnsi"/>
          <w:color w:val="16212C"/>
          <w:sz w:val="22"/>
          <w:szCs w:val="22"/>
        </w:rPr>
        <w:lastRenderedPageBreak/>
        <w:t>fichiers de police, juge </w:t>
      </w:r>
      <w:r w:rsidRPr="001F34DC">
        <w:rPr>
          <w:rStyle w:val="Accentuation"/>
          <w:rFonts w:asciiTheme="minorHAnsi" w:hAnsiTheme="minorHAnsi" w:cstheme="minorHAnsi"/>
          <w:color w:val="16212C"/>
          <w:sz w:val="22"/>
          <w:szCs w:val="22"/>
        </w:rPr>
        <w:t>« à titre personnel » </w:t>
      </w:r>
      <w:r w:rsidRPr="001F34DC">
        <w:rPr>
          <w:rFonts w:asciiTheme="minorHAnsi" w:hAnsiTheme="minorHAnsi" w:cstheme="minorHAnsi"/>
          <w:color w:val="16212C"/>
          <w:sz w:val="22"/>
          <w:szCs w:val="22"/>
        </w:rPr>
        <w:t>que le </w:t>
      </w:r>
      <w:r w:rsidRPr="001F34DC">
        <w:rPr>
          <w:rStyle w:val="Accentuation"/>
          <w:rFonts w:asciiTheme="minorHAnsi" w:hAnsiTheme="minorHAnsi" w:cstheme="minorHAnsi"/>
          <w:color w:val="16212C"/>
          <w:sz w:val="22"/>
          <w:szCs w:val="22"/>
        </w:rPr>
        <w:t>«</w:t>
      </w:r>
      <w:r w:rsidRPr="001F34DC">
        <w:rPr>
          <w:rFonts w:asciiTheme="minorHAnsi" w:hAnsiTheme="minorHAnsi" w:cstheme="minorHAnsi"/>
          <w:color w:val="16212C"/>
          <w:sz w:val="22"/>
          <w:szCs w:val="22"/>
        </w:rPr>
        <w:t> </w:t>
      </w:r>
      <w:r w:rsidRPr="001F34DC">
        <w:rPr>
          <w:rStyle w:val="Accentuation"/>
          <w:rFonts w:asciiTheme="minorHAnsi" w:hAnsiTheme="minorHAnsi" w:cstheme="minorHAnsi"/>
          <w:color w:val="16212C"/>
          <w:sz w:val="22"/>
          <w:szCs w:val="22"/>
        </w:rPr>
        <w:t>glissement sémantique »</w:t>
      </w:r>
      <w:r w:rsidRPr="001F34DC">
        <w:rPr>
          <w:rFonts w:asciiTheme="minorHAnsi" w:hAnsiTheme="minorHAnsi" w:cstheme="minorHAnsi"/>
          <w:color w:val="16212C"/>
          <w:sz w:val="22"/>
          <w:szCs w:val="22"/>
        </w:rPr>
        <w:t> consistant à passer d</w:t>
      </w:r>
      <w:proofErr w:type="gramStart"/>
      <w:r w:rsidRPr="001F34DC">
        <w:rPr>
          <w:rFonts w:asciiTheme="minorHAnsi" w:hAnsiTheme="minorHAnsi" w:cstheme="minorHAnsi"/>
          <w:color w:val="16212C"/>
          <w:sz w:val="22"/>
          <w:szCs w:val="22"/>
        </w:rPr>
        <w:t>’</w:t>
      </w:r>
      <w:r w:rsidRPr="001F34DC">
        <w:rPr>
          <w:rStyle w:val="Accentuation"/>
          <w:rFonts w:asciiTheme="minorHAnsi" w:hAnsiTheme="minorHAnsi" w:cstheme="minorHAnsi"/>
          <w:color w:val="16212C"/>
          <w:sz w:val="22"/>
          <w:szCs w:val="22"/>
        </w:rPr>
        <w:t>«</w:t>
      </w:r>
      <w:proofErr w:type="gramEnd"/>
      <w:r w:rsidRPr="001F34DC">
        <w:rPr>
          <w:rFonts w:asciiTheme="minorHAnsi" w:hAnsiTheme="minorHAnsi" w:cstheme="minorHAnsi"/>
          <w:color w:val="16212C"/>
          <w:sz w:val="22"/>
          <w:szCs w:val="22"/>
        </w:rPr>
        <w:t> a</w:t>
      </w:r>
      <w:r w:rsidRPr="001F34DC">
        <w:rPr>
          <w:rStyle w:val="Accentuation"/>
          <w:rFonts w:asciiTheme="minorHAnsi" w:hAnsiTheme="minorHAnsi" w:cstheme="minorHAnsi"/>
          <w:color w:val="16212C"/>
          <w:sz w:val="22"/>
          <w:szCs w:val="22"/>
        </w:rPr>
        <w:t>ctivité »</w:t>
      </w:r>
      <w:r w:rsidRPr="001F34DC">
        <w:rPr>
          <w:rFonts w:asciiTheme="minorHAnsi" w:hAnsiTheme="minorHAnsi" w:cstheme="minorHAnsi"/>
          <w:color w:val="16212C"/>
          <w:sz w:val="22"/>
          <w:szCs w:val="22"/>
        </w:rPr>
        <w:t> à</w:t>
      </w:r>
      <w:r w:rsidRPr="001F34DC">
        <w:rPr>
          <w:rStyle w:val="Accentuation"/>
          <w:rFonts w:asciiTheme="minorHAnsi" w:hAnsiTheme="minorHAnsi" w:cstheme="minorHAnsi"/>
          <w:color w:val="16212C"/>
          <w:sz w:val="22"/>
          <w:szCs w:val="22"/>
        </w:rPr>
        <w:t> « opinion »</w:t>
      </w:r>
      <w:r w:rsidRPr="001F34DC">
        <w:rPr>
          <w:rFonts w:asciiTheme="minorHAnsi" w:hAnsiTheme="minorHAnsi" w:cstheme="minorHAnsi"/>
          <w:color w:val="16212C"/>
          <w:sz w:val="22"/>
          <w:szCs w:val="22"/>
        </w:rPr>
        <w:t>n’est </w:t>
      </w:r>
      <w:r w:rsidRPr="001F34DC">
        <w:rPr>
          <w:rStyle w:val="Accentuation"/>
          <w:rFonts w:asciiTheme="minorHAnsi" w:hAnsiTheme="minorHAnsi" w:cstheme="minorHAnsi"/>
          <w:color w:val="16212C"/>
          <w:sz w:val="22"/>
          <w:szCs w:val="22"/>
        </w:rPr>
        <w:t>«</w:t>
      </w:r>
      <w:r w:rsidRPr="001F34DC">
        <w:rPr>
          <w:rFonts w:asciiTheme="minorHAnsi" w:hAnsiTheme="minorHAnsi" w:cstheme="minorHAnsi"/>
          <w:color w:val="16212C"/>
          <w:sz w:val="22"/>
          <w:szCs w:val="22"/>
        </w:rPr>
        <w:t> </w:t>
      </w:r>
      <w:r w:rsidRPr="001F34DC">
        <w:rPr>
          <w:rStyle w:val="Accentuation"/>
          <w:rFonts w:asciiTheme="minorHAnsi" w:hAnsiTheme="minorHAnsi" w:cstheme="minorHAnsi"/>
          <w:color w:val="16212C"/>
          <w:sz w:val="22"/>
          <w:szCs w:val="22"/>
        </w:rPr>
        <w:t>pas très heureux » </w:t>
      </w:r>
      <w:r w:rsidRPr="001F34DC">
        <w:rPr>
          <w:rFonts w:asciiTheme="minorHAnsi" w:hAnsiTheme="minorHAnsi" w:cstheme="minorHAnsi"/>
          <w:color w:val="16212C"/>
          <w:sz w:val="22"/>
          <w:szCs w:val="22"/>
        </w:rPr>
        <w:t>mais que </w:t>
      </w:r>
      <w:r w:rsidRPr="001F34DC">
        <w:rPr>
          <w:rStyle w:val="Accentuation"/>
          <w:rFonts w:asciiTheme="minorHAnsi" w:hAnsiTheme="minorHAnsi" w:cstheme="minorHAnsi"/>
          <w:color w:val="16212C"/>
          <w:sz w:val="22"/>
          <w:szCs w:val="22"/>
        </w:rPr>
        <w:t>« cela reviendra au final au même, personne ne pouvant préjuger d’une opinion »</w:t>
      </w:r>
      <w:r w:rsidRPr="001F34DC">
        <w:rPr>
          <w:rFonts w:asciiTheme="minorHAnsi" w:hAnsiTheme="minorHAnsi" w:cstheme="minorHAnsi"/>
          <w:color w:val="16212C"/>
          <w:sz w:val="22"/>
          <w:szCs w:val="22"/>
        </w:rPr>
        <w:t>.</w:t>
      </w:r>
    </w:p>
    <w:p w14:paraId="07A9B6BB" w14:textId="77777777" w:rsidR="001F34DC" w:rsidRPr="001F34DC" w:rsidRDefault="001F34DC" w:rsidP="001F34D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16212C"/>
          <w:sz w:val="22"/>
          <w:szCs w:val="22"/>
        </w:rPr>
      </w:pPr>
      <w:r w:rsidRPr="001F34DC">
        <w:rPr>
          <w:rFonts w:asciiTheme="minorHAnsi" w:hAnsiTheme="minorHAnsi" w:cstheme="minorHAnsi"/>
          <w:color w:val="16212C"/>
          <w:sz w:val="22"/>
          <w:szCs w:val="22"/>
        </w:rPr>
        <w:t xml:space="preserve">Un avis que ne partage pas La Quadrature du Net, ONG spécialisée dans la défense des libertés publiques dont le porte-parole, Arthur </w:t>
      </w:r>
      <w:proofErr w:type="spellStart"/>
      <w:r w:rsidRPr="001F34DC">
        <w:rPr>
          <w:rFonts w:asciiTheme="minorHAnsi" w:hAnsiTheme="minorHAnsi" w:cstheme="minorHAnsi"/>
          <w:color w:val="16212C"/>
          <w:sz w:val="22"/>
          <w:szCs w:val="22"/>
        </w:rPr>
        <w:t>Messaud</w:t>
      </w:r>
      <w:proofErr w:type="spellEnd"/>
      <w:r w:rsidRPr="001F34DC">
        <w:rPr>
          <w:rFonts w:asciiTheme="minorHAnsi" w:hAnsiTheme="minorHAnsi" w:cstheme="minorHAnsi"/>
          <w:color w:val="16212C"/>
          <w:sz w:val="22"/>
          <w:szCs w:val="22"/>
        </w:rPr>
        <w:t>, se dit </w:t>
      </w:r>
      <w:r w:rsidRPr="001F34DC">
        <w:rPr>
          <w:rStyle w:val="Accentuation"/>
          <w:rFonts w:asciiTheme="minorHAnsi" w:hAnsiTheme="minorHAnsi" w:cstheme="minorHAnsi"/>
          <w:color w:val="16212C"/>
          <w:sz w:val="22"/>
          <w:szCs w:val="22"/>
        </w:rPr>
        <w:t>« extrêmement choqué que le gouvernement ait fait ça sans débat public, en catimini »</w:t>
      </w:r>
      <w:r w:rsidRPr="001F34DC">
        <w:rPr>
          <w:rFonts w:asciiTheme="minorHAnsi" w:hAnsiTheme="minorHAnsi" w:cstheme="minorHAnsi"/>
          <w:color w:val="16212C"/>
          <w:sz w:val="22"/>
          <w:szCs w:val="22"/>
        </w:rPr>
        <w:t>. </w:t>
      </w:r>
      <w:r w:rsidRPr="001F34DC">
        <w:rPr>
          <w:rStyle w:val="Accentuation"/>
          <w:rFonts w:asciiTheme="minorHAnsi" w:hAnsiTheme="minorHAnsi" w:cstheme="minorHAnsi"/>
          <w:color w:val="16212C"/>
          <w:sz w:val="22"/>
          <w:szCs w:val="22"/>
        </w:rPr>
        <w:t>«</w:t>
      </w:r>
      <w:r w:rsidRPr="001F34DC">
        <w:rPr>
          <w:rFonts w:asciiTheme="minorHAnsi" w:hAnsiTheme="minorHAnsi" w:cstheme="minorHAnsi"/>
          <w:color w:val="16212C"/>
          <w:sz w:val="22"/>
          <w:szCs w:val="22"/>
        </w:rPr>
        <w:t> </w:t>
      </w:r>
      <w:r w:rsidRPr="001F34DC">
        <w:rPr>
          <w:rStyle w:val="Accentuation"/>
          <w:rFonts w:asciiTheme="minorHAnsi" w:hAnsiTheme="minorHAnsi" w:cstheme="minorHAnsi"/>
          <w:color w:val="16212C"/>
          <w:sz w:val="22"/>
          <w:szCs w:val="22"/>
        </w:rPr>
        <w:t>Nous sommes aussi inquiets : tout ce qui avait été enlevé du fichier Edvige</w:t>
      </w:r>
      <w:r w:rsidRPr="001F34DC">
        <w:rPr>
          <w:rFonts w:asciiTheme="minorHAnsi" w:hAnsiTheme="minorHAnsi" w:cstheme="minorHAnsi"/>
          <w:color w:val="16212C"/>
          <w:sz w:val="22"/>
          <w:szCs w:val="22"/>
        </w:rPr>
        <w:t>, </w:t>
      </w:r>
      <w:r w:rsidRPr="001F34DC">
        <w:rPr>
          <w:rStyle w:val="Accentuation"/>
          <w:rFonts w:asciiTheme="minorHAnsi" w:hAnsiTheme="minorHAnsi" w:cstheme="minorHAnsi"/>
          <w:color w:val="16212C"/>
          <w:sz w:val="22"/>
          <w:szCs w:val="22"/>
        </w:rPr>
        <w:t>à savoir le fichage des opinions politiques et religieuses, et non plus seulement des activités politiques et religieuses, a été remis,</w:t>
      </w:r>
      <w:r w:rsidRPr="001F34DC">
        <w:rPr>
          <w:rFonts w:asciiTheme="minorHAnsi" w:hAnsiTheme="minorHAnsi" w:cstheme="minorHAnsi"/>
          <w:color w:val="16212C"/>
          <w:sz w:val="22"/>
          <w:szCs w:val="22"/>
        </w:rPr>
        <w:t> critique-t-il encore. </w:t>
      </w:r>
      <w:r w:rsidRPr="001F34DC">
        <w:rPr>
          <w:rStyle w:val="Accentuation"/>
          <w:rFonts w:asciiTheme="minorHAnsi" w:hAnsiTheme="minorHAnsi" w:cstheme="minorHAnsi"/>
          <w:color w:val="16212C"/>
          <w:sz w:val="22"/>
          <w:szCs w:val="22"/>
        </w:rPr>
        <w:t>Comme pour la loi sur le renseignement, on a une pratique jusqu’ici illégale que la police convainc le gouvernement de légaliser a posteriori. »</w:t>
      </w:r>
    </w:p>
    <w:p w14:paraId="14D3E8B9" w14:textId="77777777" w:rsidR="001F34DC" w:rsidRPr="001F34DC" w:rsidRDefault="001F34DC" w:rsidP="001F34D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16212C"/>
          <w:sz w:val="22"/>
          <w:szCs w:val="22"/>
        </w:rPr>
      </w:pPr>
      <w:r w:rsidRPr="001F34DC">
        <w:rPr>
          <w:rFonts w:asciiTheme="minorHAnsi" w:hAnsiTheme="minorHAnsi" w:cstheme="minorHAnsi"/>
          <w:color w:val="16212C"/>
          <w:sz w:val="22"/>
          <w:szCs w:val="22"/>
        </w:rPr>
        <w:t>Dans ses avis, la CNIL note que les changements décidés par le ministère visent à</w:t>
      </w:r>
      <w:r w:rsidRPr="001F34DC">
        <w:rPr>
          <w:rStyle w:val="Accentuation"/>
          <w:rFonts w:asciiTheme="minorHAnsi" w:hAnsiTheme="minorHAnsi" w:cstheme="minorHAnsi"/>
          <w:color w:val="16212C"/>
          <w:sz w:val="22"/>
          <w:szCs w:val="22"/>
        </w:rPr>
        <w:t> « tenir compte de l’évolution de certaines pratiques dans l’utilisation de ce traitement et, ce faisant, de les régulariser »</w:t>
      </w:r>
      <w:r w:rsidRPr="001F34DC">
        <w:rPr>
          <w:rFonts w:asciiTheme="minorHAnsi" w:hAnsiTheme="minorHAnsi" w:cstheme="minorHAnsi"/>
          <w:color w:val="16212C"/>
          <w:sz w:val="22"/>
          <w:szCs w:val="22"/>
        </w:rPr>
        <w:t>.</w:t>
      </w:r>
    </w:p>
    <w:p w14:paraId="2093AAF2" w14:textId="77777777" w:rsidR="001F34DC" w:rsidRPr="001F34DC" w:rsidRDefault="001F34DC" w:rsidP="001F34D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16212C"/>
          <w:sz w:val="22"/>
          <w:szCs w:val="22"/>
        </w:rPr>
      </w:pPr>
      <w:r w:rsidRPr="001F34DC">
        <w:rPr>
          <w:rFonts w:asciiTheme="minorHAnsi" w:hAnsiTheme="minorHAnsi" w:cstheme="minorHAnsi"/>
          <w:color w:val="16212C"/>
          <w:sz w:val="22"/>
          <w:szCs w:val="22"/>
        </w:rPr>
        <w:t>Ces choix sont d’autant plus problématiques selon M. Veyrier qu’ils interviennent après la controverse sur la proposition de loi « sécurité globale ». </w:t>
      </w:r>
      <w:r w:rsidRPr="001F34DC">
        <w:rPr>
          <w:rStyle w:val="Accentuation"/>
          <w:rFonts w:asciiTheme="minorHAnsi" w:hAnsiTheme="minorHAnsi" w:cstheme="minorHAnsi"/>
          <w:color w:val="16212C"/>
          <w:sz w:val="22"/>
          <w:szCs w:val="22"/>
        </w:rPr>
        <w:t>« Cela ne va pas contribuer à apaiser le climat, </w:t>
      </w:r>
      <w:r w:rsidRPr="001F34DC">
        <w:rPr>
          <w:rFonts w:asciiTheme="minorHAnsi" w:hAnsiTheme="minorHAnsi" w:cstheme="minorHAnsi"/>
          <w:color w:val="16212C"/>
          <w:sz w:val="22"/>
          <w:szCs w:val="22"/>
        </w:rPr>
        <w:t>déplore-t-il.</w:t>
      </w:r>
      <w:r w:rsidRPr="001F34DC">
        <w:rPr>
          <w:rStyle w:val="Accentuation"/>
          <w:rFonts w:asciiTheme="minorHAnsi" w:hAnsiTheme="minorHAnsi" w:cstheme="minorHAnsi"/>
          <w:color w:val="16212C"/>
          <w:sz w:val="22"/>
          <w:szCs w:val="22"/>
        </w:rPr>
        <w:t> Si on nous dit que l’Etat n’est pas liberticide – ce qui est à souhaiter, il ne faut pas jouer avec ça. »</w:t>
      </w:r>
    </w:p>
    <w:p w14:paraId="5C11C00F" w14:textId="77777777" w:rsidR="001F34DC" w:rsidRPr="001F34DC" w:rsidRDefault="001F34DC" w:rsidP="001F34DC">
      <w:pPr>
        <w:rPr>
          <w:rFonts w:cstheme="minorHAnsi"/>
          <w:color w:val="16212C"/>
        </w:rPr>
      </w:pPr>
      <w:r w:rsidRPr="001F34DC">
        <w:rPr>
          <w:rFonts w:cstheme="minorHAnsi"/>
          <w:color w:val="16212C"/>
        </w:rPr>
        <w:t>Lire aussi l’éditorial : Proposition de loi de « sécurité globale » : la double leçon de l’article 24</w:t>
      </w:r>
    </w:p>
    <w:p w14:paraId="3001D77E" w14:textId="77777777" w:rsidR="001F34DC" w:rsidRPr="001F34DC" w:rsidRDefault="001F34DC" w:rsidP="001F34DC">
      <w:pPr>
        <w:textAlignment w:val="center"/>
        <w:rPr>
          <w:rFonts w:cstheme="minorHAnsi"/>
          <w:color w:val="A2A9AE"/>
        </w:rPr>
      </w:pPr>
      <w:r w:rsidRPr="001F34DC">
        <w:rPr>
          <w:rStyle w:val="yiv9283018474bloc-titre"/>
          <w:rFonts w:cstheme="minorHAnsi"/>
          <w:b/>
          <w:bCs/>
          <w:color w:val="A2A9AE"/>
        </w:rPr>
        <w:t xml:space="preserve">Par Martin </w:t>
      </w:r>
      <w:proofErr w:type="spellStart"/>
      <w:r w:rsidRPr="001F34DC">
        <w:rPr>
          <w:rStyle w:val="yiv9283018474bloc-titre"/>
          <w:rFonts w:cstheme="minorHAnsi"/>
          <w:b/>
          <w:bCs/>
          <w:color w:val="A2A9AE"/>
        </w:rPr>
        <w:t>Untersinger</w:t>
      </w:r>
      <w:proofErr w:type="spellEnd"/>
      <w:r w:rsidRPr="001F34DC">
        <w:rPr>
          <w:rStyle w:val="yiv9283018474bloc-titre"/>
          <w:rFonts w:cstheme="minorHAnsi"/>
          <w:b/>
          <w:bCs/>
          <w:color w:val="A2A9AE"/>
        </w:rPr>
        <w:t xml:space="preserve"> et Raphaëlle Besse </w:t>
      </w:r>
      <w:proofErr w:type="spellStart"/>
      <w:r w:rsidRPr="001F34DC">
        <w:rPr>
          <w:rStyle w:val="yiv9283018474bloc-titre"/>
          <w:rFonts w:cstheme="minorHAnsi"/>
          <w:b/>
          <w:bCs/>
          <w:color w:val="A2A9AE"/>
        </w:rPr>
        <w:t>Desmoulières</w:t>
      </w:r>
      <w:proofErr w:type="spellEnd"/>
    </w:p>
    <w:p w14:paraId="57641109" w14:textId="77777777" w:rsidR="007F1325" w:rsidRPr="001F34DC" w:rsidRDefault="007F1325" w:rsidP="001F34DC">
      <w:pPr>
        <w:rPr>
          <w:rFonts w:cstheme="minorHAnsi"/>
        </w:rPr>
      </w:pPr>
    </w:p>
    <w:sectPr w:rsidR="007F1325" w:rsidRPr="001F34DC" w:rsidSect="005B6A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218B0"/>
    <w:multiLevelType w:val="multilevel"/>
    <w:tmpl w:val="804AF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AAF"/>
    <w:rsid w:val="001F34DC"/>
    <w:rsid w:val="005B6AAF"/>
    <w:rsid w:val="007F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0F79D"/>
  <w15:chartTrackingRefBased/>
  <w15:docId w15:val="{1D5BCA1E-FB47-4A00-8CA2-402AAFC4E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F34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5B6A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5B6A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5B6AAF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5B6AAF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customStyle="1" w:styleId="article-rel-item">
    <w:name w:val="article-rel-item"/>
    <w:basedOn w:val="Normal"/>
    <w:rsid w:val="005B6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hare">
    <w:name w:val="share"/>
    <w:basedOn w:val="Policepardfaut"/>
    <w:rsid w:val="005B6AAF"/>
  </w:style>
  <w:style w:type="character" w:styleId="Lienhypertexte">
    <w:name w:val="Hyperlink"/>
    <w:basedOn w:val="Policepardfaut"/>
    <w:uiPriority w:val="99"/>
    <w:semiHidden/>
    <w:unhideWhenUsed/>
    <w:rsid w:val="005B6AA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B6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B6AAF"/>
    <w:rPr>
      <w:b/>
      <w:bCs/>
    </w:rPr>
  </w:style>
  <w:style w:type="character" w:styleId="Accentuation">
    <w:name w:val="Emphasis"/>
    <w:basedOn w:val="Policepardfaut"/>
    <w:uiPriority w:val="20"/>
    <w:qFormat/>
    <w:rsid w:val="005B6AAF"/>
    <w:rPr>
      <w:i/>
      <w:iCs/>
    </w:rPr>
  </w:style>
  <w:style w:type="paragraph" w:customStyle="1" w:styleId="others">
    <w:name w:val="others"/>
    <w:basedOn w:val="Normal"/>
    <w:rsid w:val="005B6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uthor">
    <w:name w:val="author"/>
    <w:basedOn w:val="Policepardfaut"/>
    <w:rsid w:val="005B6AAF"/>
  </w:style>
  <w:style w:type="character" w:customStyle="1" w:styleId="Titre1Car">
    <w:name w:val="Titre 1 Car"/>
    <w:basedOn w:val="Policepardfaut"/>
    <w:link w:val="Titre1"/>
    <w:uiPriority w:val="9"/>
    <w:rsid w:val="001F34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yiv9283018474authors">
    <w:name w:val="yiv9283018474authors"/>
    <w:basedOn w:val="Policepardfaut"/>
    <w:rsid w:val="001F34DC"/>
  </w:style>
  <w:style w:type="character" w:customStyle="1" w:styleId="yiv9283018474block">
    <w:name w:val="yiv9283018474block"/>
    <w:basedOn w:val="Policepardfaut"/>
    <w:rsid w:val="001F34DC"/>
  </w:style>
  <w:style w:type="character" w:customStyle="1" w:styleId="yiv9283018474bloc-titre">
    <w:name w:val="yiv9283018474bloc-titre"/>
    <w:basedOn w:val="Policepardfaut"/>
    <w:rsid w:val="001F3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1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01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7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9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7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7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8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8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8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12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80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86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0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770080">
                  <w:marLeft w:val="0"/>
                  <w:marRight w:val="0"/>
                  <w:marTop w:val="0"/>
                  <w:marBottom w:val="0"/>
                  <w:divBdr>
                    <w:top w:val="single" w:sz="6" w:space="0" w:color="D2D6DB"/>
                    <w:left w:val="single" w:sz="2" w:space="0" w:color="D2D6DB"/>
                    <w:bottom w:val="single" w:sz="6" w:space="0" w:color="D2D6DB"/>
                    <w:right w:val="single" w:sz="2" w:space="0" w:color="D2D6DB"/>
                  </w:divBdr>
                </w:div>
                <w:div w:id="482695370">
                  <w:marLeft w:val="0"/>
                  <w:marRight w:val="0"/>
                  <w:marTop w:val="0"/>
                  <w:marBottom w:val="0"/>
                  <w:divBdr>
                    <w:top w:val="single" w:sz="6" w:space="0" w:color="D2D6DB"/>
                    <w:left w:val="single" w:sz="2" w:space="0" w:color="D2D6DB"/>
                    <w:bottom w:val="single" w:sz="6" w:space="0" w:color="D2D6DB"/>
                    <w:right w:val="single" w:sz="2" w:space="0" w:color="D2D6DB"/>
                  </w:divBdr>
                </w:div>
              </w:divsChild>
            </w:div>
            <w:div w:id="1771585275">
              <w:marLeft w:val="0"/>
              <w:marRight w:val="0"/>
              <w:marTop w:val="0"/>
              <w:marBottom w:val="0"/>
              <w:divBdr>
                <w:top w:val="single" w:sz="6" w:space="0" w:color="D2D6D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1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9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witter.com/BorisVallaud/status/13366321028639539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witter.com/PaulaForteza/status/1336802663573442562/photo/1" TargetMode="External"/><Relationship Id="rId5" Type="http://schemas.openxmlformats.org/officeDocument/2006/relationships/hyperlink" Target="https://www.legifrance.gouv.fr/jorf/jo/2020/12/04/029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1138</Words>
  <Characters>6262</Characters>
  <Application>Microsoft Office Word</Application>
  <DocSecurity>0</DocSecurity>
  <Lines>52</Lines>
  <Paragraphs>14</Paragraphs>
  <ScaleCrop>false</ScaleCrop>
  <Company/>
  <LinksUpToDate>false</LinksUpToDate>
  <CharactersWithSpaces>7386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dc:description/>
  <cp:lastModifiedBy>Julie</cp:lastModifiedBy>
  <cp:revision>2</cp:revision>
  <dcterms:created xsi:type="dcterms:W3CDTF">2020-12-10T21:34:00Z</dcterms:created>
  <dcterms:modified xsi:type="dcterms:W3CDTF">2020-12-10T21:34:00Z</dcterms:modified>
</cp:coreProperties>
</file>